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 the month of July 2022</w:t>
      </w:r>
    </w:p>
    <w:p>
      <w:pPr>
        <w:spacing w:after="0" w:line="2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Commission File Number 001-39349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DoubleDown Interactive Co., Ltd.</w:t>
      </w:r>
    </w:p>
    <w:p>
      <w:pPr>
        <w:spacing w:after="0" w:line="5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Joseph A. Sigrist, Chief Financial Officer</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 DoubleDown Interactive, LLC</w:t>
      </w:r>
    </w:p>
    <w:p>
      <w:pPr>
        <w:jc w:val="center"/>
        <w:ind w:right="-219"/>
        <w:spacing w:after="0" w:line="181" w:lineRule="auto"/>
        <w:rPr>
          <w:sz w:val="20"/>
          <w:szCs w:val="20"/>
          <w:color w:val="auto"/>
        </w:rPr>
      </w:pPr>
      <w:r>
        <w:rPr>
          <w:rFonts w:ascii="Times New Roman" w:cs="Times New Roman" w:eastAsia="Times New Roman" w:hAnsi="Times New Roman"/>
          <w:sz w:val="18"/>
          <w:szCs w:val="18"/>
          <w:b w:val="1"/>
          <w:bCs w:val="1"/>
          <w:color w:val="auto"/>
        </w:rPr>
        <w:t>605 5</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Avenue, Suite 300</w:t>
      </w:r>
    </w:p>
    <w:p>
      <w:pPr>
        <w:spacing w:after="0" w:line="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Seattle, WA 98104</w:t>
      </w:r>
    </w:p>
    <w:p>
      <w:pPr>
        <w:spacing w:after="0" w:line="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+1-206-408-4545</w:t>
      </w:r>
    </w:p>
    <w:p>
      <w:pPr>
        <w:spacing w:after="0" w:line="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219"/>
        <w:spacing w:after="0" w:line="207" w:lineRule="exact"/>
        <w:tabs>
          <w:tab w:leader="none" w:pos="5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Form 40-F</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0" w:lineRule="exact"/>
        <w:rPr>
          <w:sz w:val="24"/>
          <w:szCs w:val="24"/>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0" w:lineRule="exact"/>
        <w:rPr>
          <w:sz w:val="24"/>
          <w:szCs w:val="24"/>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187960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80"/>
          </w:cols>
          <w:pgMar w:left="440" w:top="376" w:right="679" w:bottom="1440" w:gutter="0" w:footer="0" w:header="0"/>
        </w:sectPr>
      </w:pPr>
    </w:p>
    <w:bookmarkStart w:id="1" w:name="page2"/>
    <w:bookmarkEnd w:id="1"/>
    <w:p>
      <w:pPr>
        <w:ind w:right="3040" w:firstLine="3060"/>
        <w:spacing w:after="0" w:line="41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INFORMATION CONTAINED IN THIS FORM 6-K REPORT </w:t>
      </w:r>
      <w:r>
        <w:rPr>
          <w:rFonts w:ascii="Times New Roman" w:cs="Times New Roman" w:eastAsia="Times New Roman" w:hAnsi="Times New Roman"/>
          <w:sz w:val="18"/>
          <w:szCs w:val="18"/>
          <w:b w:val="1"/>
          <w:bCs w:val="1"/>
          <w:u w:val="single" w:color="auto"/>
          <w:color w:val="auto"/>
        </w:rPr>
        <w:t>Convocation of Extraordinary General Meeting of Shareholders</w:t>
      </w:r>
    </w:p>
    <w:p>
      <w:pPr>
        <w:spacing w:after="0" w:line="4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July 19, 2022, the Board of Directors of DoubleDown Interactive Co.,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resolved to convene an extraordinary general meeting of shareholders (the “</w:t>
      </w:r>
      <w:r>
        <w:rPr>
          <w:rFonts w:ascii="Times New Roman" w:cs="Times New Roman" w:eastAsia="Times New Roman" w:hAnsi="Times New Roman"/>
          <w:sz w:val="18"/>
          <w:szCs w:val="18"/>
          <w:u w:val="single" w:color="auto"/>
          <w:color w:val="auto"/>
        </w:rPr>
        <w:t>EGM</w:t>
      </w:r>
      <w:r>
        <w:rPr>
          <w:rFonts w:ascii="Times New Roman" w:cs="Times New Roman" w:eastAsia="Times New Roman" w:hAnsi="Times New Roman"/>
          <w:sz w:val="18"/>
          <w:szCs w:val="18"/>
          <w:color w:val="auto"/>
        </w:rPr>
        <w:t>”). The details of the EGM are as follows:</w:t>
      </w:r>
    </w:p>
    <w:p>
      <w:pPr>
        <w:spacing w:after="0" w:line="67"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and Time: August 26, 2022, 11:00 A.M. (Korea Standard Time) / August 25, 2022, 10:00 P.M. (Eastern Time, USA)</w:t>
      </w:r>
    </w:p>
    <w:p>
      <w:pPr>
        <w:spacing w:after="0" w:line="130" w:lineRule="exact"/>
        <w:rPr>
          <w:rFonts w:ascii="Times New Roman" w:cs="Times New Roman" w:eastAsia="Times New Roman" w:hAnsi="Times New Roman"/>
          <w:sz w:val="18"/>
          <w:szCs w:val="18"/>
          <w:color w:val="auto"/>
        </w:rPr>
      </w:pPr>
    </w:p>
    <w:p>
      <w:pPr>
        <w:ind w:left="960" w:hanging="424"/>
        <w:spacing w:after="0" w:line="255"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Can Attend: Holders of the Company’s common shares as of August 3, 2022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Holders of American Depositary Share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each representing 0.05 of a common share of the Company, as of the Record Date may not attend in person or vote at the EGM, and instead, will need to instruct Citibank, N.A., the depositary of the ADSs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as to how to vote the common shares represented by the ADSs. ADS holders who wish to attend the EGM or vote directly must cancel their respective ADSs in exchange for common shares of the Company, which cancellation and exchange must be completed prior to the Record Date, and therefore, will need to deliver their ADSs to the Depositary for cancellation with sufficient time prior to the Record Date to allow for the subsequent exchange of their ADSs for the underlying common shares before the Record Date.</w:t>
      </w:r>
    </w:p>
    <w:p>
      <w:pPr>
        <w:spacing w:after="0" w:line="94"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Venue: Meeting room, 13th Floor, 152 Teheran-Ro, Gangnam-gu, Seoul</w:t>
      </w:r>
    </w:p>
    <w:p>
      <w:pPr>
        <w:spacing w:after="0" w:line="130" w:lineRule="exact"/>
        <w:rPr>
          <w:rFonts w:ascii="Times New Roman" w:cs="Times New Roman" w:eastAsia="Times New Roman" w:hAnsi="Times New Roman"/>
          <w:sz w:val="18"/>
          <w:szCs w:val="18"/>
          <w:color w:val="auto"/>
        </w:rPr>
      </w:pPr>
    </w:p>
    <w:p>
      <w:pPr>
        <w:ind w:left="960" w:right="2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Methods of Attending: Holders of the ADSs should send Citibank, N.A., the depositary of the ADSs, their voting instructions using the ADS voting card as separately instructed. Citibank, N.A. expects to mail voting instructions to holders of the ADSs on or about August 11, 2022.</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Proposals to be presented and considered at the EGM:</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1: Election of directors</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Keuk Kim, Chief Executive Officer and Director</w:t>
      </w:r>
    </w:p>
    <w:p>
      <w:pPr>
        <w:spacing w:after="0" w:line="27"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Joseph A. Sigrist, Chief Financial Officer and Director</w:t>
      </w:r>
    </w:p>
    <w:p>
      <w:pPr>
        <w:spacing w:after="0" w:line="9"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 Chul Kim, Chief Data Officer and Director</w:t>
      </w:r>
    </w:p>
    <w:p>
      <w:pPr>
        <w:spacing w:after="0" w:line="9"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Haenam Kim, Chief Marketing Officer and Director</w:t>
      </w:r>
    </w:p>
    <w:p>
      <w:pPr>
        <w:spacing w:after="0" w:line="112"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2: Election of Whanlim Kim as an Independent Director</w:t>
      </w:r>
    </w:p>
    <w:p>
      <w:pPr>
        <w:spacing w:after="0" w:line="130" w:lineRule="exact"/>
        <w:rPr>
          <w:rFonts w:ascii="Times New Roman" w:cs="Times New Roman" w:eastAsia="Times New Roman" w:hAnsi="Times New Roman"/>
          <w:sz w:val="18"/>
          <w:szCs w:val="18"/>
          <w:color w:val="auto"/>
        </w:rPr>
      </w:pPr>
    </w:p>
    <w:p>
      <w:pPr>
        <w:ind w:left="1420" w:right="380" w:hanging="331"/>
        <w:spacing w:after="0" w:line="282" w:lineRule="auto"/>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3: Approval of reduction of capital reserve in the amount of KRW 70,000,000,000 pursuant to Article 461-2 of the Korean Commercial Code.</w:t>
      </w:r>
    </w:p>
    <w:p>
      <w:pPr>
        <w:sectPr>
          <w:pgSz w:w="11900" w:h="16838" w:orient="portrait"/>
          <w:cols w:equalWidth="0" w:num="1">
            <w:col w:w="11000"/>
          </w:cols>
          <w:pgMar w:left="440" w:top="266" w:right="4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Agenda details</w:t>
      </w:r>
    </w:p>
    <w:p>
      <w:pPr>
        <w:spacing w:after="0" w:line="256" w:lineRule="exact"/>
        <w:rPr>
          <w:sz w:val="20"/>
          <w:szCs w:val="20"/>
          <w:color w:val="auto"/>
        </w:rPr>
      </w:pPr>
    </w:p>
    <w:p>
      <w:pPr>
        <w:ind w:left="964" w:hanging="532"/>
        <w:spacing w:after="0"/>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 whose current terms expire in November 2022 for 3-year term expiring in 2025</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57"/>
              <w:spacing w:after="0"/>
              <w:rPr>
                <w:sz w:val="20"/>
                <w:szCs w:val="20"/>
                <w:color w:val="auto"/>
              </w:rPr>
            </w:pPr>
            <w:r>
              <w:rPr>
                <w:rFonts w:ascii="Times New Roman" w:cs="Times New Roman" w:eastAsia="Times New Roman" w:hAnsi="Times New Roman"/>
                <w:sz w:val="14"/>
                <w:szCs w:val="14"/>
                <w:color w:val="auto"/>
              </w:rPr>
              <w:t>Other Positions</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color w:val="auto"/>
              </w:rPr>
              <w:t>Held</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8"/>
              </w:rPr>
              <w:t>New</w:t>
            </w:r>
          </w:p>
        </w:tc>
        <w:tc>
          <w:tcPr>
            <w:tcW w:w="2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color w:val="auto"/>
              </w:rPr>
              <w:t>(Institution</w:t>
            </w:r>
          </w:p>
        </w:tc>
        <w:tc>
          <w:tcPr>
            <w:tcW w:w="0" w:type="dxa"/>
            <w:vAlign w:val="bottom"/>
          </w:tcPr>
          <w:p>
            <w:pPr>
              <w:spacing w:after="0"/>
              <w:rPr>
                <w:sz w:val="1"/>
                <w:szCs w:val="1"/>
                <w:color w:val="auto"/>
              </w:rPr>
            </w:pPr>
          </w:p>
        </w:tc>
      </w:tr>
      <w:tr>
        <w:trPr>
          <w:trHeight w:val="148"/>
        </w:trPr>
        <w:tc>
          <w:tcPr>
            <w:tcW w:w="1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14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Date of Birth</w:t>
            </w:r>
          </w:p>
        </w:tc>
        <w:tc>
          <w:tcPr>
            <w:tcW w:w="120" w:type="dxa"/>
            <w:vAlign w:val="bottom"/>
          </w:tcPr>
          <w:p>
            <w:pPr>
              <w:spacing w:after="0"/>
              <w:rPr>
                <w:sz w:val="12"/>
                <w:szCs w:val="12"/>
                <w:color w:val="auto"/>
              </w:rPr>
            </w:pPr>
          </w:p>
        </w:tc>
        <w:tc>
          <w:tcPr>
            <w:tcW w:w="1740" w:type="dxa"/>
            <w:vAlign w:val="bottom"/>
            <w:vMerge w:val="restart"/>
          </w:tcPr>
          <w:p>
            <w:pPr>
              <w:ind w:left="720"/>
              <w:spacing w:after="0"/>
              <w:rPr>
                <w:sz w:val="20"/>
                <w:szCs w:val="20"/>
                <w:color w:val="auto"/>
              </w:rPr>
            </w:pPr>
            <w:r>
              <w:rPr>
                <w:rFonts w:ascii="Times New Roman" w:cs="Times New Roman" w:eastAsia="Times New Roman" w:hAnsi="Times New Roman"/>
                <w:sz w:val="14"/>
                <w:szCs w:val="14"/>
                <w:color w:val="auto"/>
              </w:rPr>
              <w:t>Term</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Professional Experience</w:t>
            </w:r>
          </w:p>
        </w:tc>
        <w:tc>
          <w:tcPr>
            <w:tcW w:w="240" w:type="dxa"/>
            <w:vAlign w:val="bottom"/>
          </w:tcPr>
          <w:p>
            <w:pPr>
              <w:spacing w:after="0"/>
              <w:rPr>
                <w:sz w:val="12"/>
                <w:szCs w:val="12"/>
                <w:color w:val="auto"/>
              </w:rPr>
            </w:pPr>
          </w:p>
        </w:tc>
        <w:tc>
          <w:tcPr>
            <w:tcW w:w="120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color w:val="auto"/>
              </w:rPr>
              <w:t>Name and</w:t>
            </w:r>
          </w:p>
        </w:tc>
        <w:tc>
          <w:tcPr>
            <w:tcW w:w="0" w:type="dxa"/>
            <w:vAlign w:val="bottom"/>
          </w:tcPr>
          <w:p>
            <w:pPr>
              <w:spacing w:after="0"/>
              <w:rPr>
                <w:sz w:val="1"/>
                <w:szCs w:val="1"/>
                <w:color w:val="auto"/>
              </w:rPr>
            </w:pPr>
          </w:p>
        </w:tc>
      </w:tr>
      <w:tr>
        <w:trPr>
          <w:trHeight w:val="185"/>
        </w:trPr>
        <w:tc>
          <w:tcPr>
            <w:tcW w:w="178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Appointment</w:t>
            </w:r>
          </w:p>
        </w:tc>
        <w:tc>
          <w:tcPr>
            <w:tcW w:w="260" w:type="dxa"/>
            <w:vAlign w:val="bottom"/>
          </w:tcPr>
          <w:p>
            <w:pPr>
              <w:spacing w:after="0"/>
              <w:rPr>
                <w:sz w:val="16"/>
                <w:szCs w:val="16"/>
                <w:color w:val="auto"/>
              </w:rPr>
            </w:pPr>
          </w:p>
        </w:tc>
        <w:tc>
          <w:tcPr>
            <w:tcW w:w="3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7"/>
              <w:spacing w:after="0"/>
              <w:rPr>
                <w:sz w:val="20"/>
                <w:szCs w:val="20"/>
                <w:color w:val="auto"/>
              </w:rPr>
            </w:pPr>
            <w:r>
              <w:rPr>
                <w:rFonts w:ascii="Times New Roman" w:cs="Times New Roman" w:eastAsia="Times New Roman" w:hAnsi="Times New Roman"/>
                <w:sz w:val="14"/>
                <w:szCs w:val="14"/>
                <w:color w:val="auto"/>
              </w:rPr>
              <w:t>Title)</w:t>
            </w:r>
          </w:p>
        </w:tc>
        <w:tc>
          <w:tcPr>
            <w:tcW w:w="0" w:type="dxa"/>
            <w:vAlign w:val="bottom"/>
          </w:tcPr>
          <w:p>
            <w:pPr>
              <w:spacing w:after="0"/>
              <w:rPr>
                <w:sz w:val="1"/>
                <w:szCs w:val="1"/>
                <w:color w:val="auto"/>
              </w:rPr>
            </w:pPr>
          </w:p>
        </w:tc>
      </w:tr>
      <w:tr>
        <w:trPr>
          <w:trHeight w:val="191"/>
        </w:trPr>
        <w:tc>
          <w:tcPr>
            <w:tcW w:w="16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In Keuk Kim</w:t>
            </w:r>
          </w:p>
        </w:tc>
        <w:tc>
          <w:tcPr>
            <w:tcW w:w="120" w:type="dxa"/>
            <w:vAlign w:val="bottom"/>
          </w:tcPr>
          <w:p>
            <w:pPr>
              <w:spacing w:after="0"/>
              <w:rPr>
                <w:sz w:val="16"/>
                <w:szCs w:val="16"/>
                <w:color w:val="auto"/>
              </w:rPr>
            </w:pPr>
          </w:p>
        </w:tc>
        <w:tc>
          <w:tcPr>
            <w:tcW w:w="1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April 1978</w:t>
            </w:r>
          </w:p>
        </w:tc>
        <w:tc>
          <w:tcPr>
            <w:tcW w:w="120" w:type="dxa"/>
            <w:vAlign w:val="bottom"/>
          </w:tcPr>
          <w:p>
            <w:pPr>
              <w:spacing w:after="0"/>
              <w:rPr>
                <w:sz w:val="16"/>
                <w:szCs w:val="16"/>
                <w:color w:val="auto"/>
              </w:rPr>
            </w:pPr>
          </w:p>
        </w:tc>
        <w:tc>
          <w:tcPr>
            <w:tcW w:w="1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August 26, 2022 –</w:t>
            </w: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No</w:t>
            </w:r>
          </w:p>
        </w:tc>
        <w:tc>
          <w:tcPr>
            <w:tcW w:w="100" w:type="dxa"/>
            <w:vAlign w:val="bottom"/>
          </w:tcPr>
          <w:p>
            <w:pPr>
              <w:spacing w:after="0"/>
              <w:rPr>
                <w:sz w:val="16"/>
                <w:szCs w:val="16"/>
                <w:color w:val="auto"/>
              </w:rPr>
            </w:pPr>
          </w:p>
        </w:tc>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04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 Chief Executive Officer, DoubleDown</w:t>
            </w:r>
          </w:p>
        </w:tc>
        <w:tc>
          <w:tcPr>
            <w:tcW w:w="100" w:type="dxa"/>
            <w:vAlign w:val="bottom"/>
          </w:tcPr>
          <w:p>
            <w:pPr>
              <w:spacing w:after="0"/>
              <w:rPr>
                <w:sz w:val="16"/>
                <w:szCs w:val="16"/>
                <w:color w:val="auto"/>
              </w:rPr>
            </w:pPr>
          </w:p>
        </w:tc>
        <w:tc>
          <w:tcPr>
            <w:tcW w:w="2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w w:val="73"/>
              </w:rPr>
              <w:t>• </w:t>
            </w:r>
          </w:p>
        </w:tc>
        <w:tc>
          <w:tcPr>
            <w:tcW w:w="1200" w:type="dxa"/>
            <w:vAlign w:val="bottom"/>
            <w:tcBorders>
              <w:top w:val="single" w:sz="8" w:color="auto"/>
            </w:tcBorders>
          </w:tcPr>
          <w:p>
            <w:pPr>
              <w:jc w:val="center"/>
              <w:ind w:right="257"/>
              <w:spacing w:after="0" w:line="191" w:lineRule="exact"/>
              <w:rPr>
                <w:sz w:val="20"/>
                <w:szCs w:val="20"/>
                <w:color w:val="auto"/>
              </w:rPr>
            </w:pPr>
            <w:r>
              <w:rPr>
                <w:rFonts w:ascii="Times New Roman" w:cs="Times New Roman" w:eastAsia="Times New Roman" w:hAnsi="Times New Roman"/>
                <w:sz w:val="18"/>
                <w:szCs w:val="18"/>
                <w:color w:val="auto"/>
                <w:w w:val="97"/>
              </w:rPr>
              <w:t> DoubleU</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August 25, 2025</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Interactive Co., Ltd.</w:t>
            </w:r>
          </w:p>
        </w:tc>
        <w:tc>
          <w:tcPr>
            <w:tcW w:w="240" w:type="dxa"/>
            <w:vAlign w:val="bottom"/>
          </w:tcPr>
          <w:p>
            <w:pPr>
              <w:spacing w:after="0"/>
              <w:rPr>
                <w:sz w:val="18"/>
                <w:szCs w:val="18"/>
                <w:color w:val="auto"/>
              </w:rPr>
            </w:pPr>
          </w:p>
        </w:tc>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Games Co.,</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 Chief Executive Officer,</w:t>
            </w:r>
          </w:p>
        </w:tc>
        <w:tc>
          <w:tcPr>
            <w:tcW w:w="240" w:type="dxa"/>
            <w:vAlign w:val="bottom"/>
          </w:tcPr>
          <w:p>
            <w:pPr>
              <w:spacing w:after="0"/>
              <w:rPr>
                <w:sz w:val="20"/>
                <w:szCs w:val="20"/>
                <w:color w:val="auto"/>
              </w:rPr>
            </w:pPr>
          </w:p>
        </w:tc>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Ltd.</w:t>
            </w:r>
          </w:p>
        </w:tc>
        <w:tc>
          <w:tcPr>
            <w:tcW w:w="0" w:type="dxa"/>
            <w:vAlign w:val="bottom"/>
          </w:tcPr>
          <w:p>
            <w:pPr>
              <w:spacing w:after="0"/>
              <w:rPr>
                <w:sz w:val="1"/>
                <w:szCs w:val="1"/>
                <w:color w:val="auto"/>
              </w:rPr>
            </w:pPr>
          </w:p>
        </w:tc>
      </w:tr>
      <w:tr>
        <w:trPr>
          <w:trHeight w:val="103"/>
        </w:trPr>
        <w:tc>
          <w:tcPr>
            <w:tcW w:w="1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314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DoubleUDiamond, LLC</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 Executive Director and Chief Strategy</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Officer, DoubleU Games Co., Ltd.</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A. Sigrist</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March 1961</w:t>
            </w: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August 26, 2022 –</w:t>
            </w:r>
          </w:p>
        </w:tc>
        <w:tc>
          <w:tcPr>
            <w:tcW w:w="1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 Chief Financial Officer, DoubleDown</w:t>
            </w:r>
          </w:p>
        </w:tc>
        <w:tc>
          <w:tcPr>
            <w:tcW w:w="240" w:type="dxa"/>
            <w:vAlign w:val="bottom"/>
          </w:tcPr>
          <w:p>
            <w:pPr>
              <w:spacing w:after="0"/>
              <w:rPr>
                <w:sz w:val="24"/>
                <w:szCs w:val="24"/>
                <w:color w:val="auto"/>
              </w:rPr>
            </w:pPr>
          </w:p>
        </w:tc>
        <w:tc>
          <w:tcPr>
            <w:tcW w:w="1200" w:type="dxa"/>
            <w:vAlign w:val="bottom"/>
          </w:tcPr>
          <w:p>
            <w:pPr>
              <w:jc w:val="center"/>
              <w:ind w:right="257"/>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August 25, 2025</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Interactive Co., Ltd.</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 Senior Vice President, Global Product</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Development &amp; Operations,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International Game Technology PLC</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 Chul Kim</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October 1978</w:t>
            </w: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August 26, 2022 –</w:t>
            </w:r>
          </w:p>
        </w:tc>
        <w:tc>
          <w:tcPr>
            <w:tcW w:w="1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 Chief Data Officer, DoubleDown</w:t>
            </w:r>
          </w:p>
        </w:tc>
        <w:tc>
          <w:tcPr>
            <w:tcW w:w="240" w:type="dxa"/>
            <w:vAlign w:val="bottom"/>
          </w:tcPr>
          <w:p>
            <w:pPr>
              <w:ind w:left="100"/>
              <w:spacing w:after="0"/>
              <w:rPr>
                <w:sz w:val="20"/>
                <w:szCs w:val="20"/>
                <w:color w:val="auto"/>
              </w:rPr>
            </w:pPr>
            <w:r>
              <w:rPr>
                <w:rFonts w:ascii="Times New Roman" w:cs="Times New Roman" w:eastAsia="Times New Roman" w:hAnsi="Times New Roman"/>
                <w:sz w:val="12"/>
                <w:szCs w:val="12"/>
                <w:color w:val="auto"/>
                <w:w w:val="73"/>
              </w:rPr>
              <w:t>• </w:t>
            </w:r>
          </w:p>
        </w:tc>
        <w:tc>
          <w:tcPr>
            <w:tcW w:w="1200" w:type="dxa"/>
            <w:vAlign w:val="bottom"/>
          </w:tcPr>
          <w:p>
            <w:pPr>
              <w:jc w:val="center"/>
              <w:ind w:right="257"/>
              <w:spacing w:after="0"/>
              <w:rPr>
                <w:sz w:val="20"/>
                <w:szCs w:val="20"/>
                <w:color w:val="auto"/>
              </w:rPr>
            </w:pPr>
            <w:r>
              <w:rPr>
                <w:rFonts w:ascii="Times New Roman" w:cs="Times New Roman" w:eastAsia="Times New Roman" w:hAnsi="Times New Roman"/>
                <w:sz w:val="18"/>
                <w:szCs w:val="18"/>
                <w:color w:val="auto"/>
                <w:w w:val="97"/>
              </w:rPr>
              <w:t> DoubleU</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August 25, 2025</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Interactive Co., Ltd.</w:t>
            </w:r>
          </w:p>
        </w:tc>
        <w:tc>
          <w:tcPr>
            <w:tcW w:w="240" w:type="dxa"/>
            <w:vAlign w:val="bottom"/>
          </w:tcPr>
          <w:p>
            <w:pPr>
              <w:spacing w:after="0"/>
              <w:rPr>
                <w:sz w:val="18"/>
                <w:szCs w:val="18"/>
                <w:color w:val="auto"/>
              </w:rPr>
            </w:pPr>
          </w:p>
        </w:tc>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Games Co.,</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 Executive Director and Chief Marketing</w:t>
            </w:r>
          </w:p>
        </w:tc>
        <w:tc>
          <w:tcPr>
            <w:tcW w:w="240" w:type="dxa"/>
            <w:vAlign w:val="bottom"/>
          </w:tcPr>
          <w:p>
            <w:pPr>
              <w:spacing w:after="0"/>
              <w:rPr>
                <w:sz w:val="20"/>
                <w:szCs w:val="20"/>
                <w:color w:val="auto"/>
              </w:rPr>
            </w:pPr>
          </w:p>
        </w:tc>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Ltd.</w:t>
            </w:r>
          </w:p>
        </w:tc>
        <w:tc>
          <w:tcPr>
            <w:tcW w:w="0" w:type="dxa"/>
            <w:vAlign w:val="bottom"/>
          </w:tcPr>
          <w:p>
            <w:pPr>
              <w:spacing w:after="0"/>
              <w:rPr>
                <w:sz w:val="1"/>
                <w:szCs w:val="1"/>
                <w:color w:val="auto"/>
              </w:rPr>
            </w:pPr>
          </w:p>
        </w:tc>
      </w:tr>
      <w:tr>
        <w:trPr>
          <w:trHeight w:val="103"/>
        </w:trPr>
        <w:tc>
          <w:tcPr>
            <w:tcW w:w="1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314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Officer, DoubleU Games Co., Ltd.</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 Director, Hulab Co., Ltd.</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Haenam Kim</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August 1978</w:t>
            </w: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August 26, 2022 –</w:t>
            </w:r>
          </w:p>
        </w:tc>
        <w:tc>
          <w:tcPr>
            <w:tcW w:w="1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 Chief Marketing Officer, DoubleDown</w:t>
            </w:r>
          </w:p>
        </w:tc>
        <w:tc>
          <w:tcPr>
            <w:tcW w:w="240" w:type="dxa"/>
            <w:vAlign w:val="bottom"/>
          </w:tcPr>
          <w:p>
            <w:pPr>
              <w:spacing w:after="0"/>
              <w:rPr>
                <w:sz w:val="24"/>
                <w:szCs w:val="24"/>
                <w:color w:val="auto"/>
              </w:rPr>
            </w:pPr>
          </w:p>
        </w:tc>
        <w:tc>
          <w:tcPr>
            <w:tcW w:w="1200" w:type="dxa"/>
            <w:vAlign w:val="bottom"/>
          </w:tcPr>
          <w:p>
            <w:pPr>
              <w:jc w:val="center"/>
              <w:ind w:right="257"/>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August 25, 2025</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Interactive Co., Ltd.</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 Chief Operating Officer,</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DoubleUDiamond, LLC</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 Software Business Unit Sales Leader,</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IBM Collaboration and Talent Solutions</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new independent director for 3-year term ending in 2025</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58"/>
              <w:spacing w:after="0"/>
              <w:rPr>
                <w:sz w:val="20"/>
                <w:szCs w:val="20"/>
                <w:color w:val="auto"/>
              </w:rPr>
            </w:pPr>
            <w:r>
              <w:rPr>
                <w:rFonts w:ascii="Times New Roman" w:cs="Times New Roman" w:eastAsia="Times New Roman" w:hAnsi="Times New Roman"/>
                <w:sz w:val="14"/>
                <w:szCs w:val="14"/>
                <w:color w:val="auto"/>
              </w:rPr>
              <w:t>Other Positions</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color w:val="auto"/>
              </w:rPr>
              <w:t>Held</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8"/>
              </w:rPr>
              <w:t>New</w:t>
            </w:r>
          </w:p>
        </w:tc>
        <w:tc>
          <w:tcPr>
            <w:tcW w:w="260" w:type="dxa"/>
            <w:vAlign w:val="bottom"/>
          </w:tcPr>
          <w:p>
            <w:pPr>
              <w:spacing w:after="0"/>
              <w:rPr>
                <w:sz w:val="12"/>
                <w:szCs w:val="12"/>
                <w:color w:val="auto"/>
              </w:rPr>
            </w:pPr>
          </w:p>
        </w:tc>
        <w:tc>
          <w:tcPr>
            <w:tcW w:w="31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Professional Experience</w:t>
            </w:r>
          </w:p>
        </w:tc>
        <w:tc>
          <w:tcPr>
            <w:tcW w:w="240" w:type="dxa"/>
            <w:vAlign w:val="bottom"/>
          </w:tcPr>
          <w:p>
            <w:pPr>
              <w:spacing w:after="0"/>
              <w:rPr>
                <w:sz w:val="12"/>
                <w:szCs w:val="12"/>
                <w:color w:val="auto"/>
              </w:rPr>
            </w:pPr>
          </w:p>
        </w:tc>
        <w:tc>
          <w:tcPr>
            <w:tcW w:w="120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color w:val="auto"/>
              </w:rPr>
              <w:t>(Institution</w:t>
            </w:r>
          </w:p>
        </w:tc>
        <w:tc>
          <w:tcPr>
            <w:tcW w:w="0" w:type="dxa"/>
            <w:vAlign w:val="bottom"/>
          </w:tcPr>
          <w:p>
            <w:pPr>
              <w:spacing w:after="0"/>
              <w:rPr>
                <w:sz w:val="1"/>
                <w:szCs w:val="1"/>
                <w:color w:val="auto"/>
              </w:rPr>
            </w:pPr>
          </w:p>
        </w:tc>
      </w:tr>
      <w:tr>
        <w:trPr>
          <w:trHeight w:val="148"/>
        </w:trPr>
        <w:tc>
          <w:tcPr>
            <w:tcW w:w="1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14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Date of Birth</w:t>
            </w:r>
          </w:p>
        </w:tc>
        <w:tc>
          <w:tcPr>
            <w:tcW w:w="120" w:type="dxa"/>
            <w:vAlign w:val="bottom"/>
          </w:tcPr>
          <w:p>
            <w:pPr>
              <w:spacing w:after="0"/>
              <w:rPr>
                <w:sz w:val="12"/>
                <w:szCs w:val="12"/>
                <w:color w:val="auto"/>
              </w:rPr>
            </w:pPr>
          </w:p>
        </w:tc>
        <w:tc>
          <w:tcPr>
            <w:tcW w:w="1740" w:type="dxa"/>
            <w:vAlign w:val="bottom"/>
            <w:vMerge w:val="restart"/>
          </w:tcPr>
          <w:p>
            <w:pPr>
              <w:ind w:left="720"/>
              <w:spacing w:after="0"/>
              <w:rPr>
                <w:sz w:val="20"/>
                <w:szCs w:val="20"/>
                <w:color w:val="auto"/>
              </w:rPr>
            </w:pPr>
            <w:r>
              <w:rPr>
                <w:rFonts w:ascii="Times New Roman" w:cs="Times New Roman" w:eastAsia="Times New Roman" w:hAnsi="Times New Roman"/>
                <w:sz w:val="14"/>
                <w:szCs w:val="14"/>
                <w:color w:val="auto"/>
              </w:rPr>
              <w:t>Term</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color w:val="auto"/>
              </w:rPr>
              <w:t>Name and</w:t>
            </w:r>
          </w:p>
        </w:tc>
        <w:tc>
          <w:tcPr>
            <w:tcW w:w="0" w:type="dxa"/>
            <w:vAlign w:val="bottom"/>
          </w:tcPr>
          <w:p>
            <w:pPr>
              <w:spacing w:after="0"/>
              <w:rPr>
                <w:sz w:val="1"/>
                <w:szCs w:val="1"/>
                <w:color w:val="auto"/>
              </w:rPr>
            </w:pPr>
          </w:p>
        </w:tc>
      </w:tr>
      <w:tr>
        <w:trPr>
          <w:trHeight w:val="185"/>
        </w:trPr>
        <w:tc>
          <w:tcPr>
            <w:tcW w:w="178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Appointment</w:t>
            </w:r>
          </w:p>
        </w:tc>
        <w:tc>
          <w:tcPr>
            <w:tcW w:w="260" w:type="dxa"/>
            <w:vAlign w:val="bottom"/>
          </w:tcPr>
          <w:p>
            <w:pPr>
              <w:spacing w:after="0"/>
              <w:rPr>
                <w:sz w:val="16"/>
                <w:szCs w:val="16"/>
                <w:color w:val="auto"/>
              </w:rPr>
            </w:pPr>
          </w:p>
        </w:tc>
        <w:tc>
          <w:tcPr>
            <w:tcW w:w="31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(including current position)</w:t>
            </w:r>
          </w:p>
        </w:tc>
        <w:tc>
          <w:tcPr>
            <w:tcW w:w="240" w:type="dxa"/>
            <w:vAlign w:val="bottom"/>
          </w:tcPr>
          <w:p>
            <w:pPr>
              <w:spacing w:after="0"/>
              <w:rPr>
                <w:sz w:val="16"/>
                <w:szCs w:val="16"/>
                <w:color w:val="auto"/>
              </w:rPr>
            </w:pPr>
          </w:p>
        </w:tc>
        <w:tc>
          <w:tcPr>
            <w:tcW w:w="1200" w:type="dxa"/>
            <w:vAlign w:val="bottom"/>
          </w:tcPr>
          <w:p>
            <w:pPr>
              <w:jc w:val="center"/>
              <w:ind w:right="158"/>
              <w:spacing w:after="0"/>
              <w:rPr>
                <w:sz w:val="20"/>
                <w:szCs w:val="20"/>
                <w:color w:val="auto"/>
              </w:rPr>
            </w:pPr>
            <w:r>
              <w:rPr>
                <w:rFonts w:ascii="Times New Roman" w:cs="Times New Roman" w:eastAsia="Times New Roman" w:hAnsi="Times New Roman"/>
                <w:sz w:val="14"/>
                <w:szCs w:val="14"/>
                <w:color w:val="auto"/>
              </w:rPr>
              <w:t>Title)</w:t>
            </w:r>
          </w:p>
        </w:tc>
        <w:tc>
          <w:tcPr>
            <w:tcW w:w="0" w:type="dxa"/>
            <w:vAlign w:val="bottom"/>
          </w:tcPr>
          <w:p>
            <w:pPr>
              <w:spacing w:after="0"/>
              <w:rPr>
                <w:sz w:val="1"/>
                <w:szCs w:val="1"/>
                <w:color w:val="auto"/>
              </w:rPr>
            </w:pPr>
          </w:p>
        </w:tc>
      </w:tr>
      <w:tr>
        <w:trPr>
          <w:trHeight w:val="191"/>
        </w:trPr>
        <w:tc>
          <w:tcPr>
            <w:tcW w:w="16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Whanlim Kim</w:t>
            </w:r>
          </w:p>
        </w:tc>
        <w:tc>
          <w:tcPr>
            <w:tcW w:w="120" w:type="dxa"/>
            <w:vAlign w:val="bottom"/>
          </w:tcPr>
          <w:p>
            <w:pPr>
              <w:spacing w:after="0"/>
              <w:rPr>
                <w:sz w:val="16"/>
                <w:szCs w:val="16"/>
                <w:color w:val="auto"/>
              </w:rPr>
            </w:pPr>
          </w:p>
        </w:tc>
        <w:tc>
          <w:tcPr>
            <w:tcW w:w="1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April 1982</w:t>
            </w:r>
          </w:p>
        </w:tc>
        <w:tc>
          <w:tcPr>
            <w:tcW w:w="120" w:type="dxa"/>
            <w:vAlign w:val="bottom"/>
          </w:tcPr>
          <w:p>
            <w:pPr>
              <w:spacing w:after="0"/>
              <w:rPr>
                <w:sz w:val="16"/>
                <w:szCs w:val="16"/>
                <w:color w:val="auto"/>
              </w:rPr>
            </w:pPr>
          </w:p>
        </w:tc>
        <w:tc>
          <w:tcPr>
            <w:tcW w:w="1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August 26, 2022 –</w:t>
            </w: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Yes</w:t>
            </w:r>
          </w:p>
        </w:tc>
        <w:tc>
          <w:tcPr>
            <w:tcW w:w="100" w:type="dxa"/>
            <w:vAlign w:val="bottom"/>
          </w:tcPr>
          <w:p>
            <w:pPr>
              <w:spacing w:after="0"/>
              <w:rPr>
                <w:sz w:val="16"/>
                <w:szCs w:val="16"/>
                <w:color w:val="auto"/>
              </w:rPr>
            </w:pPr>
          </w:p>
        </w:tc>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04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 Chief Executive Officer, A Driven, Inc.</w:t>
            </w:r>
          </w:p>
        </w:tc>
        <w:tc>
          <w:tcPr>
            <w:tcW w:w="100" w:type="dxa"/>
            <w:vAlign w:val="bottom"/>
          </w:tcPr>
          <w:p>
            <w:pPr>
              <w:spacing w:after="0"/>
              <w:rPr>
                <w:sz w:val="16"/>
                <w:szCs w:val="16"/>
                <w:color w:val="auto"/>
              </w:rPr>
            </w:pPr>
          </w:p>
        </w:tc>
        <w:tc>
          <w:tcPr>
            <w:tcW w:w="2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w w:val="73"/>
              </w:rPr>
              <w:t>• </w:t>
            </w:r>
          </w:p>
        </w:tc>
        <w:tc>
          <w:tcPr>
            <w:tcW w:w="120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 A Driven, Inc.</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August 25, 2025</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 Chief Operating Officer, WiderPlanet,</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w w:val="73"/>
              </w:rPr>
              <w:t>• </w:t>
            </w:r>
          </w:p>
        </w:tc>
        <w:tc>
          <w:tcPr>
            <w:tcW w:w="1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 WiderPlanet ,</w:t>
            </w:r>
          </w:p>
        </w:tc>
        <w:tc>
          <w:tcPr>
            <w:tcW w:w="0" w:type="dxa"/>
            <w:vAlign w:val="bottom"/>
          </w:tcPr>
          <w:p>
            <w:pPr>
              <w:spacing w:after="0"/>
              <w:rPr>
                <w:sz w:val="1"/>
                <w:szCs w:val="1"/>
                <w:color w:val="auto"/>
              </w:rPr>
            </w:pPr>
          </w:p>
        </w:tc>
      </w:tr>
      <w:tr>
        <w:trPr>
          <w:trHeight w:val="103"/>
        </w:trPr>
        <w:tc>
          <w:tcPr>
            <w:tcW w:w="1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3140" w:type="dxa"/>
            <w:vAlign w:val="bottom"/>
            <w:gridSpan w:val="2"/>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 Ltd.</w:t>
            </w:r>
          </w:p>
        </w:tc>
        <w:tc>
          <w:tcPr>
            <w:tcW w:w="240" w:type="dxa"/>
            <w:vAlign w:val="bottom"/>
          </w:tcPr>
          <w:p>
            <w:pPr>
              <w:spacing w:after="0"/>
              <w:rPr>
                <w:sz w:val="20"/>
                <w:szCs w:val="20"/>
                <w:color w:val="auto"/>
              </w:rPr>
            </w:pPr>
          </w:p>
        </w:tc>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 Ltd.</w:t>
            </w:r>
          </w:p>
        </w:tc>
        <w:tc>
          <w:tcPr>
            <w:tcW w:w="0" w:type="dxa"/>
            <w:vAlign w:val="bottom"/>
          </w:tcPr>
          <w:p>
            <w:pPr>
              <w:spacing w:after="0"/>
              <w:rPr>
                <w:sz w:val="1"/>
                <w:szCs w:val="1"/>
                <w:color w:val="auto"/>
              </w:rPr>
            </w:pPr>
          </w:p>
        </w:tc>
      </w:tr>
      <w:tr>
        <w:trPr>
          <w:trHeight w:val="319"/>
        </w:trPr>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 Chief Strategy Officer, DigitalFirst Inc.</w:t>
            </w:r>
          </w:p>
        </w:tc>
        <w:tc>
          <w:tcPr>
            <w:tcW w:w="240" w:type="dxa"/>
            <w:vAlign w:val="bottom"/>
          </w:tcPr>
          <w:p>
            <w:pPr>
              <w:ind w:left="100"/>
              <w:spacing w:after="0"/>
              <w:rPr>
                <w:sz w:val="20"/>
                <w:szCs w:val="20"/>
                <w:color w:val="auto"/>
              </w:rPr>
            </w:pPr>
            <w:r>
              <w:rPr>
                <w:rFonts w:ascii="Times New Roman" w:cs="Times New Roman" w:eastAsia="Times New Roman" w:hAnsi="Times New Roman"/>
                <w:sz w:val="12"/>
                <w:szCs w:val="12"/>
                <w:color w:val="auto"/>
                <w:w w:val="73"/>
              </w:rPr>
              <w:t>• </w:t>
            </w:r>
          </w:p>
        </w:tc>
        <w:tc>
          <w:tcPr>
            <w:tcW w:w="1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 DigitalFirst</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 Chief Strategy Officer, IGA Works Inc.</w:t>
            </w:r>
          </w:p>
        </w:tc>
        <w:tc>
          <w:tcPr>
            <w:tcW w:w="240" w:type="dxa"/>
            <w:vAlign w:val="bottom"/>
          </w:tcPr>
          <w:p>
            <w:pPr>
              <w:spacing w:after="0"/>
              <w:rPr>
                <w:sz w:val="20"/>
                <w:szCs w:val="20"/>
                <w:color w:val="auto"/>
              </w:rPr>
            </w:pPr>
          </w:p>
        </w:tc>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w:t>
            </w:r>
          </w:p>
        </w:tc>
        <w:tc>
          <w:tcPr>
            <w:tcW w:w="0" w:type="dxa"/>
            <w:vAlign w:val="bottom"/>
          </w:tcPr>
          <w:p>
            <w:pPr>
              <w:spacing w:after="0"/>
              <w:rPr>
                <w:sz w:val="1"/>
                <w:szCs w:val="1"/>
                <w:color w:val="auto"/>
              </w:rPr>
            </w:pPr>
          </w:p>
        </w:tc>
      </w:tr>
      <w:tr>
        <w:trPr>
          <w:trHeight w:val="121"/>
        </w:trPr>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3140" w:type="dxa"/>
            <w:vAlign w:val="bottom"/>
            <w:gridSpan w:val="2"/>
            <w:vMerge w:val="continue"/>
          </w:tcPr>
          <w:p>
            <w:pPr>
              <w:spacing w:after="0"/>
              <w:rPr>
                <w:sz w:val="10"/>
                <w:szCs w:val="10"/>
                <w:color w:val="auto"/>
              </w:rPr>
            </w:pP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w w:val="73"/>
              </w:rPr>
              <w:t>• </w:t>
            </w:r>
          </w:p>
        </w:tc>
        <w:tc>
          <w:tcPr>
            <w:tcW w:w="1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 IGA Works</w:t>
            </w:r>
          </w:p>
        </w:tc>
        <w:tc>
          <w:tcPr>
            <w:tcW w:w="0" w:type="dxa"/>
            <w:vAlign w:val="bottom"/>
          </w:tcPr>
          <w:p>
            <w:pPr>
              <w:spacing w:after="0"/>
              <w:rPr>
                <w:sz w:val="1"/>
                <w:szCs w:val="1"/>
                <w:color w:val="auto"/>
              </w:rPr>
            </w:pPr>
          </w:p>
        </w:tc>
      </w:tr>
      <w:tr>
        <w:trPr>
          <w:trHeight w:val="198"/>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reduction of capital reserve in the amount of KRW 70,000,000,000 pursuant to Article 461-2 of the Korean Commercial Code.</w:t>
      </w:r>
    </w:p>
    <w:p>
      <w:pPr>
        <w:sectPr>
          <w:pgSz w:w="11900" w:h="16838" w:orient="portrait"/>
          <w:cols w:equalWidth="0" w:num="1">
            <w:col w:w="11024"/>
          </w:cols>
          <w:pgMar w:left="436" w:top="266"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Issuance of Press Release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21, 2022, the Company issued a press release announcing the convocation of the EGM.</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press release is being furnished in this report on Form 6-K as Exhibit 99.1 pursuant to General Instruction B to the Form 6-K and shall not be deemed to be “filed” for the purposes of Section 18 of the Securities Exchange Act of 1934, as amended, or otherwise subject to the liabilities of that section.</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40" w:type="dxa"/>
            <w:vAlign w:val="bottom"/>
            <w:gridSpan w:val="2"/>
          </w:tcPr>
          <w:p>
            <w:pPr>
              <w:ind w:left="2640"/>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r>
      <w:tr>
        <w:trPr>
          <w:trHeight w:val="392"/>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24"/>
                <w:szCs w:val="24"/>
                <w:color w:val="auto"/>
              </w:rPr>
            </w:pPr>
          </w:p>
        </w:tc>
        <w:tc>
          <w:tcPr>
            <w:tcW w:w="4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36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of the Company, dated July 21, 2022</w:t>
            </w:r>
          </w:p>
        </w:tc>
        <w:tc>
          <w:tcPr>
            <w:tcW w:w="1120" w:type="dxa"/>
            <w:vAlign w:val="bottom"/>
          </w:tcPr>
          <w:p>
            <w:pPr>
              <w:spacing w:after="0"/>
              <w:rPr>
                <w:sz w:val="24"/>
                <w:szCs w:val="24"/>
                <w:color w:val="auto"/>
              </w:rPr>
            </w:pPr>
          </w:p>
        </w:tc>
      </w:tr>
    </w:tbl>
    <w:p>
      <w:pPr>
        <w:sectPr>
          <w:pgSz w:w="11900" w:h="16838" w:orient="portrait"/>
          <w:cols w:equalWidth="0" w:num="1">
            <w:col w:w="10720"/>
          </w:cols>
          <w:pgMar w:left="440" w:top="266" w:right="7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5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DOUBLEDOWN INTERACTIVE CO., LTD.</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July 21, 2022</w:t>
            </w:r>
          </w:p>
        </w:tc>
        <w:tc>
          <w:tcPr>
            <w:tcW w:w="75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Joseph A. Sigrist</w:t>
            </w:r>
          </w:p>
        </w:tc>
      </w:tr>
      <w:tr>
        <w:trPr>
          <w:trHeight w:val="191"/>
        </w:trPr>
        <w:tc>
          <w:tcPr>
            <w:tcW w:w="35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 Joseph A. Sigrist</w:t>
            </w:r>
          </w:p>
        </w:tc>
      </w:tr>
      <w:tr>
        <w:trPr>
          <w:trHeight w:val="234"/>
        </w:trPr>
        <w:tc>
          <w:tcPr>
            <w:tcW w:w="35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ectPr>
          <w:pgSz w:w="11900" w:h="16838" w:orient="portrait"/>
          <w:cols w:equalWidth="0" w:num="1">
            <w:col w:w="11020"/>
          </w:cols>
          <w:pgMar w:left="440" w:top="266"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517015" cy="942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01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DoubleDown Interactive to Hold Extraordinary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Meeting on August 26, 2022</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SEATTLE, WASHINGTON – July 21, 2022 — DoubleDown Interactive Co., Ltd. (NASDAQ: DDI) (“DoubleDown” or the “Company”), a leading developer and publisher of digital social casino games, today announced that it will hold an extraordinary general meeting of shareholders (the “EGM”) at 152 Teheran-Ro, 13th floor, Gangnam-gu, Seoul on August 26, 2022 at 11:00 A.M., Korea Standard Time, or August 25, 2022 at 10:00 P.M. Eastern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EGM, the Board of Directors of the Company (the “Board”) will present the following resolutions:</w:t>
      </w:r>
    </w:p>
    <w:p>
      <w:pPr>
        <w:spacing w:after="0" w:line="131" w:lineRule="exact"/>
        <w:rPr>
          <w:sz w:val="20"/>
          <w:szCs w:val="20"/>
          <w:color w:val="auto"/>
        </w:rPr>
      </w:pPr>
    </w:p>
    <w:p>
      <w:pPr>
        <w:jc w:val="both"/>
        <w:ind w:left="960" w:right="28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each of In Keuk Kim, Joseph A. Sigrist, Ki Chul Kim, and Haenam Kim (each a current director of the Company with a term expiring in November 2022 and prior to the Company’s next Annual General Meeting in 2023), as a director of the Company for a new three-year term commencing on August 26, 2022 and ending on August 25, 2025;</w:t>
      </w:r>
    </w:p>
    <w:p>
      <w:pPr>
        <w:spacing w:after="0" w:line="81"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Whanlim Kim as a non-executive independent director of the Company for a three-year term commencing August 26, 2022 and ending on August 25, 2025; and</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reduction of the Company’s capital reserve in the amount of KRW 70,000,000,000 pursuant to Article 461-2 of the Korean Commercial Code.</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Board has fixed the close of business on August 3, 2022, U.S. Eastern Time, as the record date (the “Record Date”) for determining the shareholders entitled to receive notice and to attend and vote at the EGM or any adjourned or postponed meeting thereof pursuant to the articles of incorporation of the Company currently in effect. Holders of American Depositary Share (“ADSs”), each representing 0.05 of a common share of the Company, who wish to attend the EGM in person or vote at the EGM, must deliver their ADSs to Citibank, N.A., the depositary of ADSs (the “Depositary”), for cancellation of and exchange their ADSs for the underlying common shares, which cancellation and exchange must be completed prior to the Record Date. Otherwise, holders of ADSs as of the Record Date may not attend in person or vote at the EGM, and instead, will need to instruct the Depositary as to how to vote the common shares represented by the ADSs following receipt of a notice and voting instructions from the Depositary, which will be mailed on or about August 11, 2022.</w:t>
      </w:r>
    </w:p>
    <w:p>
      <w:pPr>
        <w:spacing w:after="0" w:line="1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two additional non-executive independent directors, Yanghoon Cho and Jaesung Chung, are not up for re-election at this time. Their current three-year terms will expire in May 2023. If elected by the requisite vote of the shareholders at the EGM, the Board expects to appoint Whanlim Kim as the third independent director on the Audit Committee.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DoubleDown Interactive</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DoubleDown Interactive Co., Ltd. is a leading developer and publisher of digital games on mobile and web-based platforms. We are the creators of multi-format interactive entertainment experiences for casual players, bringing authentic Vegas entertainment to players around the world through an online social casino experience. Our flagship title, DoubleDown Casino, has been a fan-favorite game on leading social and mobile platforms for years, entertaining millions of players worldwide with a lineup of classic and modern games.</w:t>
      </w:r>
    </w:p>
    <w:p>
      <w:pPr>
        <w:sectPr>
          <w:pgSz w:w="11900" w:h="16838" w:orient="portrait"/>
          <w:cols w:equalWidth="0" w:num="1">
            <w:col w:w="11020"/>
          </w:cols>
          <w:pgMar w:left="44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Sigrist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ir@doubledown.com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(206) 773-2266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https://www.doubledowninteractive.com</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Cody Slach or Jeff Grampp, CFA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Gateway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1-949-574-3860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DDI@gatewayir.com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lvl w:ilvl="2">
      <w:lvlJc w:val="left"/>
      <w:lvlText w:val="%3."/>
      <w:numFmt w:val="lowerRoman"/>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2022-07-21T15:33:27Z</dcterms:created>
  <dcterms:modified xsi:type="dcterms:W3CDTF">2022-07-21T15:33:27Z</dcterms:modified>
</cp:coreProperties>
</file>