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33" w:after="33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2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20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month of August, 2025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001-39349</w:t>
      </w:r>
    </w:p>
    <w:p>
      <w:pPr>
        <w:pStyle w:val="TextBody"/>
        <w:bidi w:val="0"/>
        <w:spacing w:lineRule="auto" w:line="288" w:before="12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DoubleDown Interactive Co.,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(Translation of registrant’s name into English) </w:t>
      </w:r>
    </w:p>
    <w:p>
      <w:pPr>
        <w:pStyle w:val="TextBody"/>
        <w:bidi w:val="0"/>
        <w:spacing w:lineRule="auto" w:line="288" w:before="120" w:after="40"/>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Joseph A. Sigrist,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 DoubleDown Interactive, LLC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605 5th Avenue, Suite 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Seattle, WA 98104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+1-206-408-4545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12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0" w:after="0"/>
        <w:jc w:val="left"/>
        <w:rPr/>
      </w:pP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Form 20-F 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Form40-F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33" w:after="33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CONTAINED IN THIS FORM 6-K REPORT </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Issuance of Press Release </w:t>
      </w:r>
    </w:p>
    <w:p>
      <w:pPr>
        <w:pStyle w:val="TextBody"/>
        <w:bidi w:val="0"/>
        <w:spacing w:lineRule="auto" w:line="288" w:before="120" w:after="283"/>
        <w:jc w:val="left"/>
        <w:rPr/>
      </w:pPr>
      <w:r>
        <w:rPr>
          <w:rFonts w:ascii="Times New Roman;serif" w:hAnsi="Times New Roman;serif"/>
          <w:b w:val="false"/>
          <w:color w:val="000000"/>
          <w:sz w:val="20"/>
        </w:rPr>
        <w:t>On August 12, 2025, DoubleDown Interactive Co., Ltd.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issued a press release announcing its unaudited financial results for the second quarter ended June 30, 2025, together with its unaudited condensed consolidated interim financial statements for the three and six months ended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report on Form 6-K is hereby incorporated by reference into the Company’s Registration Statement on Form F-3 (File No. 333-267422), to be a part thereof from the date on which this report is submitted, to the extent not superseded by documents or reports subsequently filed or furnished.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300"/>
        <w:gridCol w:w="263"/>
        <w:gridCol w:w="266"/>
        <w:gridCol w:w="109"/>
        <w:gridCol w:w="109"/>
        <w:gridCol w:w="109"/>
        <w:gridCol w:w="2664"/>
        <w:gridCol w:w="2627"/>
        <w:gridCol w:w="3758"/>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ddi-2025x08x12x6kxexx991.htm">
              <w:r>
                <w:rPr>
                  <w:rStyle w:val="InternetLink"/>
                  <w:rFonts w:ascii="Times New Roman;serif" w:hAnsi="Times New Roman;serif"/>
                  <w:b w:val="false"/>
                  <w:color w:val="000080"/>
                  <w:sz w:val="20"/>
                  <w:u w:val="single"/>
                </w:rPr>
                <w:t xml:space="preserve">Press release of the Company, dated </w:t>
              </w:r>
            </w:hyperlink>
            <w:r>
              <w:rPr>
                <w:rFonts w:ascii="Times New Roman;serif" w:hAnsi="Times New Roman;serif"/>
                <w:b w:val="false"/>
                <w:color w:val="0000EE"/>
                <w:sz w:val="20"/>
                <w:u w:val="single"/>
              </w:rPr>
              <w:t xml:space="preserve">August 12, 2025 </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ddi-20250630_d2.htm">
              <w:r>
                <w:rPr>
                  <w:rStyle w:val="InternetLink"/>
                  <w:rFonts w:ascii="Times New Roman;serif" w:hAnsi="Times New Roman;serif"/>
                  <w:b w:val="false"/>
                  <w:color w:val="000080"/>
                  <w:sz w:val="20"/>
                  <w:u w:val="single"/>
                </w:rPr>
                <w:t xml:space="preserve">Unaudited condensed consolidated interim financial statements of the Company for the three </w:t>
              </w:r>
            </w:hyperlink>
            <w:hyperlink w:anchor="ddi-20250630_d2.htm">
              <w:r>
                <w:rPr>
                  <w:rStyle w:val="InternetLink"/>
                  <w:rFonts w:ascii="Times New Roman;serif" w:hAnsi="Times New Roman;serif"/>
                  <w:b w:val="false"/>
                  <w:color w:val="000080"/>
                  <w:sz w:val="20"/>
                  <w:u w:val="single"/>
                </w:rPr>
                <w:t xml:space="preserve">and six </w:t>
              </w:r>
            </w:hyperlink>
            <w:hyperlink w:anchor="ddi-20250630_d2.htm">
              <w:r>
                <w:rPr>
                  <w:rStyle w:val="InternetLink"/>
                  <w:rFonts w:ascii="Times New Roman;serif" w:hAnsi="Times New Roman;serif"/>
                  <w:b w:val="false"/>
                  <w:color w:val="000080"/>
                  <w:sz w:val="20"/>
                  <w:u w:val="single"/>
                </w:rPr>
                <w:t xml:space="preserve">months ended </w:t>
              </w:r>
            </w:hyperlink>
            <w:hyperlink w:anchor="ddi-20250630_d2.htm">
              <w:r>
                <w:rPr>
                  <w:rStyle w:val="InternetLink"/>
                  <w:rFonts w:ascii="Times New Roman;serif" w:hAnsi="Times New Roman;serif"/>
                  <w:b w:val="false"/>
                  <w:color w:val="000080"/>
                  <w:sz w:val="20"/>
                  <w:u w:val="single"/>
                </w:rPr>
                <w:t>June 30</w:t>
              </w:r>
            </w:hyperlink>
            <w:hyperlink w:anchor="ddi-20250630_d2.htm">
              <w:r>
                <w:rPr>
                  <w:rStyle w:val="InternetLink"/>
                  <w:rFonts w:ascii="Times New Roman;serif" w:hAnsi="Times New Roman;serif"/>
                  <w:b w:val="false"/>
                  <w:color w:val="000080"/>
                  <w:sz w:val="20"/>
                  <w:u w:val="single"/>
                </w:rPr>
                <w:t xml:space="preserve">, 2025 </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33" w:after="33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944" w:type="dxa"/>
        <w:jc w:val="left"/>
        <w:tblInd w:w="0" w:type="dxa"/>
        <w:tblLayout w:type="fixed"/>
        <w:tblCellMar>
          <w:top w:w="28" w:type="dxa"/>
          <w:left w:w="28" w:type="dxa"/>
          <w:bottom w:w="28" w:type="dxa"/>
          <w:right w:w="28" w:type="dxa"/>
        </w:tblCellMar>
      </w:tblPr>
      <w:tblGrid>
        <w:gridCol w:w="705"/>
        <w:gridCol w:w="621"/>
        <w:gridCol w:w="624"/>
        <w:gridCol w:w="415"/>
        <w:gridCol w:w="415"/>
        <w:gridCol w:w="415"/>
        <w:gridCol w:w="415"/>
        <w:gridCol w:w="415"/>
        <w:gridCol w:w="415"/>
        <w:gridCol w:w="732"/>
        <w:gridCol w:w="732"/>
        <w:gridCol w:w="10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DOUBLEDOWN INTERACTIVE CO., LTD.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Joseph A. Sigrist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Name: Joseph A. Sigrist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before="0" w:after="0"/>
        <w:jc w:val="left"/>
        <w:rPr/>
      </w:pPr>
      <w:r>
        <w:rPr/>
        <w:drawing>
          <wp:inline distT="0" distB="0" distL="0" distR="0">
            <wp:extent cx="2019300" cy="1266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19300" cy="1266825"/>
                    </a:xfrm>
                    <a:prstGeom prst="rect">
                      <a:avLst/>
                    </a:prstGeom>
                  </pic:spPr>
                </pic:pic>
              </a:graphicData>
            </a:graphic>
          </wp:inline>
        </w:drawing>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 xml:space="preserve">DoubleDown Interactive Reports Second Quarter 2025 Financial Results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SEOUL, KOREA – August 12, 2025 — DoubleDown Interactive Co., Ltd. (NASDAQ: DDI) (“DoubleDown” or the “Company”), a leading developer and publisher of digital games on mobile and web-based platforms, today announced unaudited financial results for the second quarter ended June 30, 2025. Beginning with the fourth quarter of 2024, the Company is reporting its financial results in accordance with International Financial Reporting Standards (“IFRS”). As such, the financial results for the second quarter of 2025, as well as the comparable period for 2024, reflect IFRS. The Company previously reported its financial results in accordance with accounting principles generally accepted in the United States of America (“US GAAP”).</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Second Quarter 2025 vs. Second Quarter 2024 Summary: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Revenue was $84.8 million in the second quarter of 2025 compared to $88.2 million in the second quarter of 2024. Revenue from the Company’s social casino/free-to-play games was $69.3 million in the second quarter of 2025, a 14% decline from the second quarter of 2024. Revenue from SuprNation, the Company’s iGaming subsid</w:t>
      </w:r>
      <w:r>
        <w:rPr>
          <w:rFonts w:ascii="Times New Roman;serif" w:hAnsi="Times New Roman;serif"/>
          <w:b w:val="false"/>
          <w:color w:val="000000"/>
          <w:sz w:val="20"/>
          <w:shd w:fill="FFFFFF" w:val="clear"/>
        </w:rPr>
        <w:t>iary, increased 96% year over year to $15.5 million, primarily as a result of the Company</w:t>
      </w:r>
      <w:r>
        <w:rPr>
          <w:color w:val="000000"/>
        </w:rPr>
        <w:t>’</w:t>
      </w:r>
      <w:r>
        <w:rPr>
          <w:rFonts w:ascii="Times New Roman;serif" w:hAnsi="Times New Roman;serif"/>
          <w:b w:val="false"/>
          <w:color w:val="000000"/>
          <w:sz w:val="20"/>
          <w:shd w:fill="FFFFFF" w:val="clear"/>
        </w:rPr>
        <w:t>s increased focus on new player acqu</w:t>
      </w:r>
      <w:r>
        <w:rPr>
          <w:rFonts w:ascii="Times New Roman;serif" w:hAnsi="Times New Roman;serif"/>
          <w:b w:val="false"/>
          <w:color w:val="000000"/>
          <w:sz w:val="20"/>
        </w:rPr>
        <w:t>isition.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Operating expenses were $52.4 million in the second quarter of 2025 compared to $51.9 million in the second quarter of 2024, primarily due to increased operating expenses related to SuprNation, partially offset by lower cost of revenue and lower research and development expenses.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Profit for the interim period (excluding non-controlling interest) was $21.8 million, or earnings per fully diluted common share of $8.82 ($0.44 per American Depositary Share (“ADS”)), in the second quarter of 2025, compared to profit for the interim period (excluding non-controlling interest) of $33.1 million, or earnings per fully diluted common share of $13.35 ($0.67 per ADS), in the second quarter of 2024. The </w:t>
      </w:r>
      <w:r>
        <w:rPr>
          <w:rFonts w:ascii="Times New Roman;serif" w:hAnsi="Times New Roman;serif"/>
          <w:b w:val="false"/>
          <w:color w:val="000000"/>
          <w:sz w:val="20"/>
          <w:shd w:fill="FFFFFF" w:val="clear"/>
        </w:rPr>
        <w:t>decrease was primarily due to lower revenue, increased unrealized loss on foreign currency and higher general and administrative expenses, partially offset by lower research and development expenses.</w:t>
      </w:r>
      <w:r>
        <w:rPr>
          <w:color w:val="000000"/>
        </w:rPr>
        <w:t xml:space="preserve"> </w:t>
      </w:r>
      <w:r>
        <w:rPr>
          <w:rFonts w:ascii="Times New Roman;serif" w:hAnsi="Times New Roman;serif"/>
          <w:b w:val="false"/>
          <w:color w:val="000000"/>
          <w:sz w:val="20"/>
        </w:rPr>
        <w:t>Each ADS represents 0.05 share of a common share.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Adjusted EBITDA was $33.5 million for the second quarter of 2025 compared to $37.5 million in the second quarter of 2024. Adjusted EBITDA margin was 39.5% in the second quarter of 2025 compared to 42.5% in the second quarter of 2024.</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Average Revenue Per Daily Active User (“ARPDAU”) for the Company’s social casino/free-to-play games remained the same at $1.33 in the second quarter of 2025 and second quarter of 2024, and increased slightly from $1.29 in the first quarter of 2025.</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Average monthly revenue per payer for the social casino/free-to-play games decreased to $286 in the second quarter of 2025 from $288 in the second quarter of 2024 and increased from $276 in the first quarter of 2025.</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Net cash flows from operating activities fell to $19.7 million in the second quarter of 2025 from $34.8 million in the second quarter of 2024, driven primarily by an increase in income taxes paid in the second quarter of 2025.</w:t>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Times New Roman;serif" w:hAnsi="Times New Roman;serif"/>
          <w:b w:val="false"/>
          <w:color w:val="000000"/>
          <w:sz w:val="20"/>
        </w:rPr>
        <w:t xml:space="preserve">The ongoing successful execution on our strategic operating priorities, focused on driving a high conversion of revenue to cash flow, resulted in strong second quarter results as we generated $19.7 million in cash flow from operations during the period,” said In Keuk Kim, Chief Executive Officer of DoubleDown. “We continue to drive strong monetization metrics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 xml:space="preserve">for our flagship casino game, </w:t>
      </w:r>
      <w:r>
        <w:rPr>
          <w:rFonts w:ascii="Times New Roman;serif" w:hAnsi="Times New Roman;serif"/>
          <w:b w:val="false"/>
          <w:i/>
          <w:color w:val="000000"/>
          <w:sz w:val="20"/>
        </w:rPr>
        <w:t>DoubleDown Casino</w:t>
      </w:r>
      <w:r>
        <w:rPr>
          <w:rFonts w:ascii="Times New Roman;serif" w:hAnsi="Times New Roman;serif"/>
          <w:b w:val="false"/>
          <w:color w:val="000000"/>
          <w:sz w:val="20"/>
        </w:rPr>
        <w:t>, somewhat offsetting the expected year-over-year social casino revenue decline given the exceptional performance in the comparable prior-year period.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This quarter, our SuprNation iGaming business generated record revenue of $15.5 million, up 96% from Q2 2024, reflecting the success of our strategies to prudently scale investments to acquire new players for our iGaming sector which we first entered in October 2023.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Our balance sheet remains strong, which allows DoubleDown to make flexible strategic investment decisions to achieve growth through our in-house development efforts and/or through potential M&amp;A opportunities that could create new value for our shareholders. We ended the second quarter with an aggregate net cash position of approximately $444 million, or approximately $8.96 per ADS. We believe our recently closed acquisition of WHOW Games GmbH marks a significant step toward increasing our competitiveness in the growing German social casino market. We intend to unlock valuable synergies from this transaction by leveraging our combined operational expertise and enhanced scale, again with the goal of enhancing shareholder value.”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Summary Operating Results for DoubleDown Interactive (Unaudited) </w:t>
      </w:r>
    </w:p>
    <w:tbl>
      <w:tblPr>
        <w:tblW w:w="10205" w:type="dxa"/>
        <w:jc w:val="center"/>
        <w:tblInd w:w="0" w:type="dxa"/>
        <w:tblLayout w:type="fixed"/>
        <w:tblCellMar>
          <w:top w:w="28" w:type="dxa"/>
          <w:left w:w="28" w:type="dxa"/>
          <w:bottom w:w="28" w:type="dxa"/>
          <w:right w:w="28" w:type="dxa"/>
        </w:tblCellMar>
      </w:tblPr>
      <w:tblGrid>
        <w:gridCol w:w="1908"/>
        <w:gridCol w:w="1586"/>
        <w:gridCol w:w="1589"/>
        <w:gridCol w:w="260"/>
        <w:gridCol w:w="630"/>
        <w:gridCol w:w="334"/>
        <w:gridCol w:w="260"/>
        <w:gridCol w:w="630"/>
        <w:gridCol w:w="334"/>
        <w:gridCol w:w="109"/>
        <w:gridCol w:w="109"/>
        <w:gridCol w:w="109"/>
        <w:gridCol w:w="220"/>
        <w:gridCol w:w="644"/>
        <w:gridCol w:w="283"/>
        <w:gridCol w:w="220"/>
        <w:gridCol w:w="644"/>
        <w:gridCol w:w="336"/>
      </w:tblGrid>
      <w:tr>
        <w:trPr/>
        <w:tc>
          <w:tcPr>
            <w:tcW w:w="190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5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3"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 MM)</w:t>
            </w:r>
          </w:p>
        </w:tc>
        <w:tc>
          <w:tcPr>
            <w:tcW w:w="2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33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33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83"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336"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 MM)</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DDEBF7"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 (excluding non-controlling interest) ($ MM)</w:t>
            </w:r>
          </w:p>
        </w:tc>
        <w:tc>
          <w:tcPr>
            <w:tcW w:w="260"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83"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3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 MM)</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margin</w:t>
            </w:r>
          </w:p>
        </w:tc>
        <w:tc>
          <w:tcPr>
            <w:tcW w:w="890"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34"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34"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83"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336"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8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Non-financial performance metrics</w:t>
            </w:r>
            <w:r>
              <w:rPr>
                <w:rFonts w:ascii="Times New Roman;serif" w:hAnsi="Times New Roman;serif"/>
                <w:b w:val="false"/>
                <w:color w:val="000000"/>
                <w:sz w:val="13"/>
              </w:rPr>
              <w:t>(1)</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MAUs (000s)</w:t>
            </w:r>
          </w:p>
        </w:tc>
        <w:tc>
          <w:tcPr>
            <w:tcW w:w="890"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3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3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83"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33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DAUs (000s)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ARPDAU</w:t>
            </w:r>
          </w:p>
        </w:tc>
        <w:tc>
          <w:tcPr>
            <w:tcW w:w="260"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83"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3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payer</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conversion</w:t>
            </w:r>
          </w:p>
        </w:tc>
        <w:tc>
          <w:tcPr>
            <w:tcW w:w="890"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4"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34"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83"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36"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Social casino/free-to-play games only.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Conference Call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DoubleDown will hold a conference call today (August 12, 2025) at 5:00 p.m. Eastern Time (2:00 p.m. Pacific Time) to discuss these results. A question-and-answer session will follow management’s presentation. </w:t>
      </w:r>
    </w:p>
    <w:p>
      <w:pPr>
        <w:pStyle w:val="TextBody"/>
        <w:bidi w:val="0"/>
        <w:spacing w:lineRule="auto" w:line="288" w:before="240" w:after="283"/>
        <w:jc w:val="left"/>
        <w:rPr/>
      </w:pPr>
      <w:r>
        <w:rPr>
          <w:rFonts w:ascii="Times New Roman;serif" w:hAnsi="Times New Roman;serif"/>
          <w:b w:val="false"/>
          <w:color w:val="000000"/>
          <w:sz w:val="20"/>
        </w:rPr>
        <w:t xml:space="preserve">To access the call, please use the following link: </w:t>
      </w:r>
      <w:r>
        <w:rPr>
          <w:rFonts w:ascii="Times New Roman;serif" w:hAnsi="Times New Roman;serif"/>
          <w:b w:val="false"/>
          <w:color w:val="000000"/>
          <w:sz w:val="20"/>
          <w:u w:val="single"/>
        </w:rPr>
        <w:t>DoubleDown Second Quarter 2025 Earnings Call</w:t>
      </w:r>
      <w:r>
        <w:rPr>
          <w:rFonts w:ascii="Times New Roman;serif" w:hAnsi="Times New Roman;serif"/>
          <w:b w:val="false"/>
          <w:color w:val="000000"/>
          <w:sz w:val="20"/>
        </w:rPr>
        <w:t xml:space="preserve">. After registering, an email will be sent, including dial-in details and a unique conference call access code required to join the live call. To ensure you are connected prior to the beginning of the call, please register a minimum of 15 minutes before the start of the call. </w:t>
      </w:r>
    </w:p>
    <w:p>
      <w:pPr>
        <w:pStyle w:val="TextBody"/>
        <w:bidi w:val="0"/>
        <w:spacing w:lineRule="auto" w:line="288" w:before="240" w:after="283"/>
        <w:jc w:val="left"/>
        <w:rPr/>
      </w:pPr>
      <w:r>
        <w:rPr>
          <w:rFonts w:ascii="Times New Roman;serif" w:hAnsi="Times New Roman;serif"/>
          <w:b w:val="false"/>
          <w:color w:val="000000"/>
          <w:sz w:val="20"/>
        </w:rPr>
        <w:t xml:space="preserve">A simultaneous webcast of the conference call will be available with the following link: </w:t>
      </w:r>
      <w:r>
        <w:rPr>
          <w:rFonts w:ascii="Times New Roman;serif" w:hAnsi="Times New Roman;serif"/>
          <w:b w:val="false"/>
          <w:color w:val="000000"/>
          <w:sz w:val="20"/>
          <w:u w:val="single"/>
        </w:rPr>
        <w:t>DoubleDown Second Quarter 2025 Earnings Webcast</w:t>
      </w:r>
      <w:r>
        <w:rPr>
          <w:rFonts w:ascii="Times New Roman;serif" w:hAnsi="Times New Roman;serif"/>
          <w:b w:val="false"/>
          <w:color w:val="000000"/>
          <w:sz w:val="20"/>
        </w:rPr>
        <w:t>, or via the Investor Relations page of the DoubleDown website at</w:t>
      </w:r>
      <w:r>
        <w:rPr>
          <w:color w:val="000000"/>
          <w:u w:val="single"/>
        </w:rPr>
        <w:t xml:space="preserve"> </w:t>
      </w:r>
      <w:r>
        <w:rPr>
          <w:rFonts w:ascii="Times New Roman;serif" w:hAnsi="Times New Roman;serif"/>
          <w:b w:val="false"/>
          <w:color w:val="000000"/>
          <w:sz w:val="20"/>
          <w:u w:val="single"/>
        </w:rPr>
        <w:t>ir.doubledowninteractive.com</w:t>
      </w:r>
      <w:r>
        <w:rPr>
          <w:rFonts w:ascii="Times New Roman;serif" w:hAnsi="Times New Roman;serif"/>
          <w:b w:val="false"/>
          <w:color w:val="000000"/>
          <w:sz w:val="20"/>
        </w:rPr>
        <w:t xml:space="preserve">. For those not planning to ask a question on the conference call, the Company recommends listening via the webcast. A replay will be available on the Company’s Investor Relations website shortly after the event. </w:t>
      </w: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About DoubleDown Interactive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val="false"/>
          <w:color w:val="000000"/>
          <w:sz w:val="20"/>
        </w:rPr>
        <w:t xml:space="preserve">social casino title, </w:t>
      </w:r>
      <w:r>
        <w:rPr>
          <w:rFonts w:ascii="Times New Roman;serif" w:hAnsi="Times New Roman;serif"/>
          <w:b w:val="false"/>
          <w:i/>
          <w:color w:val="000000"/>
          <w:sz w:val="20"/>
        </w:rPr>
        <w:t>DoubleDown Casino</w:t>
      </w:r>
      <w:r>
        <w:rPr>
          <w:rFonts w:ascii="Times New Roman;serif" w:hAnsi="Times New Roman;serif"/>
          <w:b w:val="false"/>
          <w:color w:val="000000"/>
          <w:sz w:val="20"/>
        </w:rPr>
        <w:t>, has been a fan-favorite game on leading social and mobile platforms for years, entertaining millions of players worldwide with a lineup of classic and modern games. DoubleDown recently expanded its social casino platform with the acquisition of WHOW Games GmbH, a developer headquartered in Hamburg, Germany. The Company’s subsidiary, SuprNation, also operates three real-money iGaming sites in Western Europe.</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Safe Harbor Statement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contained in this press release are “forward-looking statements” about future events and expectations for purposes of the safe harbor provisions under the United States Private Securities Litigation Reform Act of 1995. Forward-looking statements are based on our beliefs, assumptions, and expectations of industry trends, our future financial and operating performance, and our growth plans, taking into account the information currently available to us. These statements are not statements of historical fact.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Therefore, you should not place undue reliance on such statements. Words such as “anticipates,” believes,” “continues,” “estimates,” “expects,” “goal,” “objectives,” “intends,” “may,” “opportunity,” “plans,” potential,” “near-term,” long-term,” “projections,” “assumptions,” “projects,” “guidance,” “forecasts,” “outlook,” “target,” “trends,” “should,” “could,” “would,” “will,” and similar expressions are intended to identify such forward-looking statements. We qualify any forward-looking statements entirely by these cautionary factors. We assume no obligation to update or revise any forward-looking statements for any reason or to update the reasons actual results could differ materially from those anticipated in these forward-looking statements, even if new information becomes available in the future.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Use and Reconciliation of Non-IFRS Financial Measures </w:t>
      </w:r>
    </w:p>
    <w:p>
      <w:pPr>
        <w:pStyle w:val="TextBody"/>
        <w:bidi w:val="0"/>
        <w:spacing w:lineRule="auto" w:line="288" w:before="120" w:after="283"/>
        <w:jc w:val="left"/>
        <w:rPr/>
      </w:pPr>
      <w:r>
        <w:rPr>
          <w:rFonts w:ascii="Times New Roman;serif" w:hAnsi="Times New Roman;serif"/>
          <w:b w:val="false"/>
          <w:color w:val="000000"/>
          <w:sz w:val="20"/>
        </w:rPr>
        <w:t>In addition to our results determined in accordance with IFRS, we believe the following non-IFRS financial measure is useful in evaluating our operating performance. We present “</w:t>
      </w:r>
      <w:r>
        <w:rPr>
          <w:rFonts w:ascii="Times New Roman;serif" w:hAnsi="Times New Roman;serif"/>
          <w:b w:val="false"/>
          <w:i/>
          <w:color w:val="000000"/>
          <w:sz w:val="20"/>
        </w:rPr>
        <w:t>adjusted earnings before interest, taxes, depreciation and amortization</w:t>
      </w:r>
      <w:r>
        <w:rPr>
          <w:color w:val="000000"/>
        </w:rPr>
        <w:t xml:space="preserve">” </w:t>
      </w:r>
      <w:r>
        <w:rPr>
          <w:rFonts w:ascii="Times New Roman;serif" w:hAnsi="Times New Roman;serif"/>
          <w:b w:val="false"/>
          <w:color w:val="000000"/>
          <w:sz w:val="20"/>
        </w:rPr>
        <w:t xml:space="preserve">(“Adjusted EBITDA”) because we believe it assists investors and analysts by facilitating comparison of period-to-period operational performance on a consistent basis by excluding items that we do not believe are indicative of our core operating performance. The items excluded from the Adjusted EBITDA may have a material impact on our financial results. Certain of those items are non-recurring, while others are non-cash in nature. Accordingly, the Adjusted EBITDA is presented as supplemental disclosure and should not be considered in isolation of, as a substitute for, or superior to, the financial information prepared in accordance with IFRS, and should be read in conjunction with the condensed consolidated interim financial statements furnished in our report on Form 6-K filed with the SEC.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our reconciliation from our reported IFRS “profit before income tax” to our Adjusted EBITDA, we eliminate the impact of the following four line items: (i) depreciation and amortization; (ii) finance income; (iii) finance cost; and (iv) other (income) expense. The below table sets forth the full reconciliation of our non-IFRS measures: </w:t>
      </w:r>
    </w:p>
    <w:tbl>
      <w:tblPr>
        <w:tblW w:w="8514" w:type="dxa"/>
        <w:jc w:val="center"/>
        <w:tblInd w:w="0" w:type="dxa"/>
        <w:tblLayout w:type="fixed"/>
        <w:tblCellMar>
          <w:top w:w="28" w:type="dxa"/>
          <w:left w:w="28" w:type="dxa"/>
          <w:bottom w:w="28" w:type="dxa"/>
          <w:right w:w="28" w:type="dxa"/>
        </w:tblCellMar>
      </w:tblPr>
      <w:tblGrid>
        <w:gridCol w:w="1178"/>
        <w:gridCol w:w="1036"/>
        <w:gridCol w:w="1041"/>
        <w:gridCol w:w="272"/>
        <w:gridCol w:w="660"/>
        <w:gridCol w:w="350"/>
        <w:gridCol w:w="272"/>
        <w:gridCol w:w="660"/>
        <w:gridCol w:w="350"/>
        <w:gridCol w:w="109"/>
        <w:gridCol w:w="109"/>
        <w:gridCol w:w="109"/>
        <w:gridCol w:w="246"/>
        <w:gridCol w:w="596"/>
        <w:gridCol w:w="316"/>
        <w:gridCol w:w="246"/>
        <w:gridCol w:w="596"/>
        <w:gridCol w:w="368"/>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non-IFRS measures</w:t>
            </w:r>
          </w:p>
        </w:tc>
        <w:tc>
          <w:tcPr>
            <w:tcW w:w="2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 except percentages)</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55" w:type="dxa"/>
            <w:gridSpan w:val="3"/>
            <w:tcBorders/>
            <w:shd w:fill="DDEBF7"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272"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50"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50"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16"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36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before income tax</w:t>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5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5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1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w:t>
            </w:r>
          </w:p>
        </w:tc>
        <w:tc>
          <w:tcPr>
            <w:tcW w:w="128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5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5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1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5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5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50"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50"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16"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68"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key differences between reconciliations of Adjusted EBITDA and Adjusted EBITDA margin under IFRS and under GAAP arise from the treatment of certain adjustments, particularly in the areas of depreciation and amortization, finance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and finance cost per the respective accounting standards. For reconciliation of Adjusted EBITDA and Adjusted EBITDA margin under IFRS, depreciation related to right-of-use assets is included within the depreciation and amortization, and as such, is added back to Adjusted EBITDA in the reconciliation. In contrast, for reconciliation of Adjusted EBITDA and Adjusted EBITDA margin under GAAP, depreciation related to right-of-use assets is classified under general and administrative expenses, and thus, is excluded from Adjusted EBITDA in the reconciliation. The designation of finance income and finance cost in reconciliation under IFRS reflects a change in the classification of non-operating (income) expense in reconciliation under GAAP. Specifically, the non-operating (income) expense accounts under GAAP have been renamed to finance income and finance cost under IFRS.</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encourage investors and others to review our financial information in its entirety and not to rely on any single financial measure.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Company Contact: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Joe Sigrist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ir@doubledown.com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(206) 773-2266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https://www.doubledowninteractive.com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Investor Relations Contact: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Joseph Jaffoni and Christin Armacost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JCIR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(212) 835-8500</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DDI@jcir.com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DoubleDown Interactive Co.,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Interim Statement of Financial Position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of U.S. dollars) </w:t>
      </w:r>
    </w:p>
    <w:p>
      <w:pPr>
        <w:pStyle w:val="TextBody"/>
        <w:bidi w:val="0"/>
        <w:spacing w:before="0" w:after="0"/>
        <w:jc w:val="center"/>
        <w:rPr/>
      </w:pPr>
      <w:r>
        <w:rPr/>
      </w:r>
    </w:p>
    <w:tbl>
      <w:tblPr>
        <w:tblW w:w="7441" w:type="dxa"/>
        <w:jc w:val="left"/>
        <w:tblInd w:w="0" w:type="dxa"/>
        <w:tblLayout w:type="fixed"/>
        <w:tblCellMar>
          <w:top w:w="28" w:type="dxa"/>
          <w:left w:w="28" w:type="dxa"/>
          <w:bottom w:w="28" w:type="dxa"/>
          <w:right w:w="28" w:type="dxa"/>
        </w:tblCellMar>
      </w:tblPr>
      <w:tblGrid>
        <w:gridCol w:w="1685"/>
        <w:gridCol w:w="1483"/>
        <w:gridCol w:w="1496"/>
        <w:gridCol w:w="211"/>
        <w:gridCol w:w="826"/>
        <w:gridCol w:w="109"/>
        <w:gridCol w:w="109"/>
        <w:gridCol w:w="109"/>
        <w:gridCol w:w="109"/>
        <w:gridCol w:w="231"/>
        <w:gridCol w:w="905"/>
        <w:gridCol w:w="168"/>
      </w:tblGrid>
      <w:tr>
        <w:trPr/>
        <w:tc>
          <w:tcPr>
            <w:tcW w:w="16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103,759 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47,666 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450,862 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452,922 </w:t>
            </w:r>
          </w:p>
        </w:tc>
        <w:tc>
          <w:tcPr>
            <w:tcW w:w="16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906,164 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borrowings with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with related party</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40,747 </w:t>
            </w:r>
          </w:p>
        </w:tc>
        <w:tc>
          <w:tcPr>
            <w:tcW w:w="16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premium</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517,813 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472,125 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DoubleDown Interactive Co., Ltd.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841,915 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non-controlling interests</w:t>
            </w:r>
          </w:p>
        </w:tc>
        <w:tc>
          <w:tcPr>
            <w:tcW w:w="1037"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842,033 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single" w:sz="8" w:space="0" w:color="000000"/>
            </w:tcBorders>
            <w:shd w:fill="DDEBF7"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DDEBF7"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971,184 </w:t>
            </w:r>
          </w:p>
        </w:tc>
        <w:tc>
          <w:tcPr>
            <w:tcW w:w="109" w:type="dxa"/>
            <w:tcBorders>
              <w:top w:val="single" w:sz="8" w:space="0" w:color="000000"/>
              <w:bottom w:val="single" w:sz="8" w:space="0" w:color="000000"/>
            </w:tcBorders>
            <w:shd w:fill="DDEBF7"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DEB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DDEBF7"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single" w:sz="8" w:space="0" w:color="000000"/>
            </w:tcBorders>
            <w:shd w:fill="DDEBF7"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906,164 </w:t>
            </w:r>
          </w:p>
        </w:tc>
        <w:tc>
          <w:tcPr>
            <w:tcW w:w="168" w:type="dxa"/>
            <w:tcBorders>
              <w:top w:val="single" w:sz="8" w:space="0" w:color="000000"/>
              <w:bottom w:val="single" w:sz="8" w:space="0" w:color="000000"/>
            </w:tcBorders>
            <w:shd w:fill="DDEBF7"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DoubleDown Interactive Co.,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Interim Statement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of U.S. dollars, except per share amounts) </w:t>
      </w:r>
    </w:p>
    <w:tbl>
      <w:tblPr>
        <w:tblW w:w="9949" w:type="dxa"/>
        <w:jc w:val="left"/>
        <w:tblInd w:w="0" w:type="dxa"/>
        <w:tblLayout w:type="fixed"/>
        <w:tblCellMar>
          <w:top w:w="28" w:type="dxa"/>
          <w:left w:w="28" w:type="dxa"/>
          <w:bottom w:w="28" w:type="dxa"/>
          <w:right w:w="28" w:type="dxa"/>
        </w:tblCellMar>
      </w:tblPr>
      <w:tblGrid>
        <w:gridCol w:w="1535"/>
        <w:gridCol w:w="1349"/>
        <w:gridCol w:w="1361"/>
        <w:gridCol w:w="211"/>
        <w:gridCol w:w="798"/>
        <w:gridCol w:w="109"/>
        <w:gridCol w:w="109"/>
        <w:gridCol w:w="109"/>
        <w:gridCol w:w="109"/>
        <w:gridCol w:w="211"/>
        <w:gridCol w:w="798"/>
        <w:gridCol w:w="109"/>
        <w:gridCol w:w="109"/>
        <w:gridCol w:w="109"/>
        <w:gridCol w:w="109"/>
        <w:gridCol w:w="211"/>
        <w:gridCol w:w="901"/>
        <w:gridCol w:w="109"/>
        <w:gridCol w:w="109"/>
        <w:gridCol w:w="109"/>
        <w:gridCol w:w="109"/>
        <w:gridCol w:w="211"/>
        <w:gridCol w:w="90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84,813 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88,236 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168,305 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176,379 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(26,859)</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(54,278)</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(52,399)</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(51,878)</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(106,260)</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(108,865)</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09"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14,965 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before income tax</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30,620 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42,518 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63,398 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80,891 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33,172 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63,548 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 net of tax</w:t>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translation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for the interim period</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27,567 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30,631 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53,014 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58,065 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Profit attributable to: </w:t>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w:t>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33,083 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63,407 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income attributable to: </w:t>
            </w:r>
          </w:p>
        </w:tc>
        <w:tc>
          <w:tcPr>
            <w:tcW w:w="111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1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54" w:type="dxa"/>
            <w:tcBorders/>
            <w:shd w:fill="DDEBF7"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18" w:type="dxa"/>
            <w:gridSpan w:val="3"/>
            <w:tcBorders/>
            <w:shd w:fill="DDEBF7"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DDEBF7"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DEBF7"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DEBF7"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DoubleDown Interactive Co.,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Interim Statement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of U.S. dollars) </w:t>
      </w:r>
    </w:p>
    <w:tbl>
      <w:tblPr>
        <w:tblW w:w="8319" w:type="dxa"/>
        <w:jc w:val="left"/>
        <w:tblInd w:w="0" w:type="dxa"/>
        <w:tblLayout w:type="fixed"/>
        <w:tblCellMar>
          <w:top w:w="28" w:type="dxa"/>
          <w:left w:w="28" w:type="dxa"/>
          <w:bottom w:w="28" w:type="dxa"/>
          <w:right w:w="28" w:type="dxa"/>
        </w:tblCellMar>
      </w:tblPr>
      <w:tblGrid>
        <w:gridCol w:w="2045"/>
        <w:gridCol w:w="1799"/>
        <w:gridCol w:w="1811"/>
        <w:gridCol w:w="211"/>
        <w:gridCol w:w="826"/>
        <w:gridCol w:w="109"/>
        <w:gridCol w:w="109"/>
        <w:gridCol w:w="109"/>
        <w:gridCol w:w="109"/>
        <w:gridCol w:w="211"/>
        <w:gridCol w:w="826"/>
        <w:gridCol w:w="154"/>
      </w:tblGrid>
      <w:tr>
        <w:trPr/>
        <w:tc>
          <w:tcPr>
            <w:tcW w:w="2045"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(used in) operating activities</w:t>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profit to net cash from operating activities:</w:t>
            </w:r>
          </w:p>
        </w:tc>
        <w:tc>
          <w:tcPr>
            <w:tcW w:w="114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foreign currency</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valuation of financial assets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severance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employee benefits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adjustments:</w:t>
            </w:r>
          </w:p>
        </w:tc>
        <w:tc>
          <w:tcPr>
            <w:tcW w:w="114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generated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(15,285)</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inflow from operating activities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(164,311)</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(71,742)</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short-term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(outflow) from investing activities </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lease liabilities</w:t>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(outflow) from financing activities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64,347 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interim period</w:t>
            </w:r>
          </w:p>
        </w:tc>
        <w:tc>
          <w:tcPr>
            <w:tcW w:w="211"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334,850 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206,911 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interim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36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lineRule="auto" w:line="333" w:before="360" w:after="283"/>
        <w:jc w:val="left"/>
        <w:rPr>
          <w:rFonts w:ascii="Times New Roman;serif" w:hAnsi="Times New Roman;serif"/>
          <w:b/>
          <w:color w:val="000000"/>
          <w:sz w:val="24"/>
        </w:rPr>
      </w:pPr>
      <w:r>
        <w:rPr>
          <w:rFonts w:ascii="Times New Roman;serif" w:hAnsi="Times New Roman;serif"/>
          <w:b/>
          <w:color w:val="000000"/>
          <w:sz w:val="24"/>
        </w:rPr>
        <w:t>DoubleDown Interactive Co., Ltd.</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Condensed Consolidated Interim Financial Statements (Unaudited)</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As of and for the three and six months ended June 30, 2025 and 2024</w:t>
      </w:r>
    </w:p>
    <w:p>
      <w:pPr>
        <w:pStyle w:val="TextBody"/>
        <w:bidi w:val="0"/>
        <w:spacing w:lineRule="auto" w:line="333" w:before="280" w:after="283"/>
        <w:jc w:val="left"/>
        <w:rPr>
          <w:rFonts w:ascii="Times New Roman;serif" w:hAnsi="Times New Roman;serif"/>
          <w:b/>
          <w:color w:val="000000"/>
          <w:sz w:val="20"/>
        </w:rPr>
      </w:pPr>
      <w:r>
        <w:rPr>
          <w:rFonts w:ascii="Times New Roman;serif" w:hAnsi="Times New Roman;serif"/>
          <w:b/>
          <w:color w:val="000000"/>
          <w:sz w:val="20"/>
        </w:rPr>
        <w:t>Contents</w:t>
      </w:r>
    </w:p>
    <w:tbl>
      <w:tblPr>
        <w:tblW w:w="6015" w:type="dxa"/>
        <w:jc w:val="left"/>
        <w:tblInd w:w="0" w:type="dxa"/>
        <w:tblLayout w:type="fixed"/>
        <w:tblCellMar>
          <w:top w:w="28" w:type="dxa"/>
          <w:left w:w="28" w:type="dxa"/>
          <w:bottom w:w="28" w:type="dxa"/>
          <w:right w:w="28" w:type="dxa"/>
        </w:tblCellMar>
      </w:tblPr>
      <w:tblGrid>
        <w:gridCol w:w="2024"/>
        <w:gridCol w:w="1781"/>
        <w:gridCol w:w="1790"/>
        <w:gridCol w:w="123"/>
        <w:gridCol w:w="123"/>
        <w:gridCol w:w="174"/>
      </w:tblGrid>
      <w:tr>
        <w:trPr/>
        <w:tc>
          <w:tcPr>
            <w:tcW w:w="202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3d06b871f40dc817417d22fbc7712_4">
              <w:r>
                <w:rPr>
                  <w:rStyle w:val="InternetLink"/>
                  <w:rFonts w:ascii="Times New Roman;serif" w:hAnsi="Times New Roman;serif"/>
                  <w:b w:val="false"/>
                  <w:color w:val="0000FF"/>
                  <w:sz w:val="20"/>
                  <w:u w:val="single"/>
                </w:rPr>
                <w:t>Consolidated Interim Statement of Financial Position</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b7c3d06b871f40dc817417d22fbc7712_4">
              <w:r>
                <w:rPr>
                  <w:rStyle w:val="InternetLink"/>
                  <w:rFonts w:ascii="Times New Roman;serif" w:hAnsi="Times New Roman;serif"/>
                  <w:b w:val="false"/>
                  <w:strike w:val="false"/>
                  <w:dstrike w:val="false"/>
                  <w:color w:val="000000"/>
                  <w:sz w:val="20"/>
                  <w:u w:val="none"/>
                  <w:effect w:val="none"/>
                </w:rPr>
                <w:t>2</w:t>
              </w:r>
            </w:hyperlink>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3d06b871f40dc817417d22fbc7712_7">
              <w:r>
                <w:rPr>
                  <w:rStyle w:val="InternetLink"/>
                  <w:rFonts w:ascii="Times New Roman;serif" w:hAnsi="Times New Roman;serif"/>
                  <w:b w:val="false"/>
                  <w:color w:val="0000FF"/>
                  <w:sz w:val="20"/>
                  <w:u w:val="single"/>
                </w:rPr>
                <w:t>Consolidated</w:t>
              </w:r>
            </w:hyperlink>
            <w:hyperlink w:anchor="ib7c3d06b871f40dc817417d22fbc7712_7">
              <w:r>
                <w:rPr>
                  <w:rStyle w:val="InternetLink"/>
                  <w:color w:val="0000FF"/>
                  <w:u w:val="single"/>
                </w:rPr>
                <w:t xml:space="preserve"> </w:t>
              </w:r>
            </w:hyperlink>
            <w:hyperlink w:anchor="ib7c3d06b871f40dc817417d22fbc7712_7">
              <w:r>
                <w:rPr>
                  <w:rStyle w:val="InternetLink"/>
                  <w:rFonts w:ascii="Times New Roman;serif" w:hAnsi="Times New Roman;serif"/>
                  <w:b w:val="false"/>
                  <w:color w:val="0000FF"/>
                  <w:sz w:val="20"/>
                  <w:u w:val="single"/>
                </w:rPr>
                <w:t>Interim Statement of Comprehensive Income</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b7c3d06b871f40dc817417d22fbc7712_7">
              <w:r>
                <w:rPr>
                  <w:rStyle w:val="InternetLink"/>
                  <w:rFonts w:ascii="Times New Roman;serif" w:hAnsi="Times New Roman;serif"/>
                  <w:b w:val="false"/>
                  <w:strike w:val="false"/>
                  <w:dstrike w:val="false"/>
                  <w:color w:val="000000"/>
                  <w:sz w:val="20"/>
                  <w:u w:val="none"/>
                  <w:effect w:val="none"/>
                </w:rPr>
                <w:t>3</w:t>
              </w:r>
            </w:hyperlink>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3d06b871f40dc817417d22fbc7712_10">
              <w:r>
                <w:rPr>
                  <w:rStyle w:val="InternetLink"/>
                  <w:rFonts w:ascii="Times New Roman;serif" w:hAnsi="Times New Roman;serif"/>
                  <w:b w:val="false"/>
                  <w:color w:val="0000FF"/>
                  <w:sz w:val="20"/>
                  <w:u w:val="single"/>
                </w:rPr>
                <w:t>Consolidated</w:t>
              </w:r>
            </w:hyperlink>
            <w:hyperlink w:anchor="ib7c3d06b871f40dc817417d22fbc7712_10">
              <w:r>
                <w:rPr>
                  <w:rStyle w:val="InternetLink"/>
                  <w:color w:val="0000FF"/>
                  <w:u w:val="single"/>
                </w:rPr>
                <w:t xml:space="preserve"> </w:t>
              </w:r>
            </w:hyperlink>
            <w:hyperlink w:anchor="ib7c3d06b871f40dc817417d22fbc7712_10">
              <w:r>
                <w:rPr>
                  <w:rStyle w:val="InternetLink"/>
                  <w:rFonts w:ascii="Times New Roman;serif" w:hAnsi="Times New Roman;serif"/>
                  <w:b w:val="false"/>
                  <w:color w:val="0000FF"/>
                  <w:sz w:val="20"/>
                  <w:u w:val="single"/>
                </w:rPr>
                <w:t xml:space="preserve">Interim </w:t>
              </w:r>
            </w:hyperlink>
            <w:hyperlink w:anchor="ib7c3d06b871f40dc817417d22fbc7712_10">
              <w:r>
                <w:rPr>
                  <w:rStyle w:val="InternetLink"/>
                  <w:rFonts w:ascii="Times New Roman;serif" w:hAnsi="Times New Roman;serif"/>
                  <w:b w:val="false"/>
                  <w:color w:val="000080"/>
                  <w:sz w:val="20"/>
                  <w:u w:val="single"/>
                </w:rPr>
                <w:t>Statement</w:t>
              </w:r>
            </w:hyperlink>
            <w:hyperlink w:anchor="ib7c3d06b871f40dc817417d22fbc7712_10">
              <w:r>
                <w:rPr>
                  <w:rStyle w:val="InternetLink"/>
                  <w:color w:val="0000FF"/>
                  <w:u w:val="single"/>
                </w:rPr>
                <w:t xml:space="preserve"> </w:t>
              </w:r>
            </w:hyperlink>
            <w:hyperlink w:anchor="ib7c3d06b871f40dc817417d22fbc7712_10">
              <w:r>
                <w:rPr>
                  <w:rStyle w:val="InternetLink"/>
                  <w:rFonts w:ascii="Times New Roman;serif" w:hAnsi="Times New Roman;serif"/>
                  <w:b w:val="false"/>
                  <w:color w:val="0000FF"/>
                  <w:sz w:val="20"/>
                  <w:u w:val="single"/>
                </w:rPr>
                <w:t>of Changes in Equity</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b7c3d06b871f40dc817417d22fbc7712_10">
              <w:r>
                <w:rPr>
                  <w:rStyle w:val="InternetLink"/>
                  <w:rFonts w:ascii="Times New Roman;serif" w:hAnsi="Times New Roman;serif"/>
                  <w:b w:val="false"/>
                  <w:strike w:val="false"/>
                  <w:dstrike w:val="false"/>
                  <w:color w:val="000000"/>
                  <w:sz w:val="20"/>
                  <w:u w:val="none"/>
                  <w:effect w:val="none"/>
                </w:rPr>
                <w:t>4</w:t>
              </w:r>
            </w:hyperlink>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3d06b871f40dc817417d22fbc7712_13">
              <w:r>
                <w:rPr>
                  <w:rStyle w:val="InternetLink"/>
                  <w:rFonts w:ascii="Times New Roman;serif" w:hAnsi="Times New Roman;serif"/>
                  <w:b w:val="false"/>
                  <w:color w:val="0000FF"/>
                  <w:sz w:val="20"/>
                  <w:u w:val="single"/>
                </w:rPr>
                <w:t>Consolidated</w:t>
              </w:r>
            </w:hyperlink>
            <w:hyperlink w:anchor="ib7c3d06b871f40dc817417d22fbc7712_13">
              <w:r>
                <w:rPr>
                  <w:rStyle w:val="InternetLink"/>
                  <w:color w:val="0000FF"/>
                  <w:u w:val="single"/>
                </w:rPr>
                <w:t xml:space="preserve"> </w:t>
              </w:r>
            </w:hyperlink>
            <w:hyperlink w:anchor="ib7c3d06b871f40dc817417d22fbc7712_13">
              <w:r>
                <w:rPr>
                  <w:rStyle w:val="InternetLink"/>
                  <w:rFonts w:ascii="Times New Roman;serif" w:hAnsi="Times New Roman;serif"/>
                  <w:b w:val="false"/>
                  <w:color w:val="0000FF"/>
                  <w:sz w:val="20"/>
                  <w:u w:val="single"/>
                </w:rPr>
                <w:t xml:space="preserve">Interim </w:t>
              </w:r>
            </w:hyperlink>
            <w:hyperlink w:anchor="ib7c3d06b871f40dc817417d22fbc7712_13">
              <w:r>
                <w:rPr>
                  <w:rStyle w:val="InternetLink"/>
                  <w:rFonts w:ascii="Times New Roman;serif" w:hAnsi="Times New Roman;serif"/>
                  <w:b w:val="false"/>
                  <w:color w:val="000080"/>
                  <w:sz w:val="20"/>
                  <w:u w:val="single"/>
                </w:rPr>
                <w:t>Statement</w:t>
              </w:r>
            </w:hyperlink>
            <w:hyperlink w:anchor="ib7c3d06b871f40dc817417d22fbc7712_13">
              <w:r>
                <w:rPr>
                  <w:rStyle w:val="InternetLink"/>
                  <w:color w:val="0000FF"/>
                  <w:u w:val="single"/>
                </w:rPr>
                <w:t xml:space="preserve"> </w:t>
              </w:r>
            </w:hyperlink>
            <w:hyperlink w:anchor="ib7c3d06b871f40dc817417d22fbc7712_13">
              <w:r>
                <w:rPr>
                  <w:rStyle w:val="InternetLink"/>
                  <w:rFonts w:ascii="Times New Roman;serif" w:hAnsi="Times New Roman;serif"/>
                  <w:b w:val="false"/>
                  <w:color w:val="0000FF"/>
                  <w:sz w:val="20"/>
                  <w:u w:val="single"/>
                </w:rPr>
                <w:t>of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b7c3d06b871f40dc817417d22fbc7712_13">
              <w:r>
                <w:rPr>
                  <w:rStyle w:val="InternetLink"/>
                  <w:rFonts w:ascii="Times New Roman;serif" w:hAnsi="Times New Roman;serif"/>
                  <w:b w:val="false"/>
                  <w:strike w:val="false"/>
                  <w:dstrike w:val="false"/>
                  <w:color w:val="000000"/>
                  <w:sz w:val="20"/>
                  <w:u w:val="none"/>
                  <w:effect w:val="none"/>
                </w:rPr>
                <w:t>5</w:t>
              </w:r>
            </w:hyperlink>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c3d06b871f40dc817417d22fbc7712_16">
              <w:r>
                <w:rPr>
                  <w:rStyle w:val="InternetLink"/>
                  <w:rFonts w:ascii="Times New Roman;serif" w:hAnsi="Times New Roman;serif"/>
                  <w:b w:val="false"/>
                  <w:color w:val="0000FF"/>
                  <w:sz w:val="20"/>
                  <w:u w:val="single"/>
                </w:rPr>
                <w:t>Notes to the Condensed Consolidated Interim</w:t>
              </w:r>
            </w:hyperlink>
            <w:hyperlink w:anchor="ib7c3d06b871f40dc817417d22fbc7712_16">
              <w:r>
                <w:rPr>
                  <w:rStyle w:val="InternetLink"/>
                  <w:color w:val="0000FF"/>
                  <w:u w:val="single"/>
                </w:rPr>
                <w:t xml:space="preserve"> </w:t>
              </w:r>
            </w:hyperlink>
            <w:hyperlink w:anchor="ib7c3d06b871f40dc817417d22fbc7712_16">
              <w:r>
                <w:rPr>
                  <w:rStyle w:val="InternetLink"/>
                  <w:rFonts w:ascii="Times New Roman;serif" w:hAnsi="Times New Roman;serif"/>
                  <w:b w:val="false"/>
                  <w:color w:val="0000FF"/>
                  <w:sz w:val="20"/>
                  <w:u w:val="single"/>
                </w:rPr>
                <w:t>Financial</w:t>
              </w:r>
            </w:hyperlink>
            <w:hyperlink w:anchor="ib7c3d06b871f40dc817417d22fbc7712_16">
              <w:r>
                <w:rPr>
                  <w:rStyle w:val="InternetLink"/>
                  <w:color w:val="0000FF"/>
                  <w:u w:val="single"/>
                </w:rPr>
                <w:t xml:space="preserve"> </w:t>
              </w:r>
            </w:hyperlink>
            <w:hyperlink w:anchor="ib7c3d06b871f40dc817417d22fbc7712_16">
              <w:r>
                <w:rPr>
                  <w:rStyle w:val="InternetLink"/>
                  <w:rFonts w:ascii="Times New Roman;serif" w:hAnsi="Times New Roman;serif"/>
                  <w:b w:val="false"/>
                  <w:color w:val="0000FF"/>
                  <w:sz w:val="20"/>
                  <w:u w:val="single"/>
                </w:rPr>
                <w:t>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b7c3d06b871f40dc817417d22fbc7712_16">
              <w:r>
                <w:rPr>
                  <w:rStyle w:val="InternetLink"/>
                  <w:rFonts w:ascii="Times New Roman;serif" w:hAnsi="Times New Roman;serif"/>
                  <w:b w:val="false"/>
                  <w:strike w:val="false"/>
                  <w:dstrike w:val="false"/>
                  <w:color w:val="000000"/>
                  <w:sz w:val="20"/>
                  <w:u w:val="none"/>
                  <w:effect w:val="none"/>
                </w:rPr>
                <w:t>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 xml:space="preserve">Consolidated Interim Statement of Financial Position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(in thousands of U.S. dollars)</w:t>
      </w:r>
    </w:p>
    <w:tbl>
      <w:tblPr>
        <w:tblW w:w="8384" w:type="dxa"/>
        <w:jc w:val="left"/>
        <w:tblInd w:w="0" w:type="dxa"/>
        <w:tblLayout w:type="fixed"/>
        <w:tblCellMar>
          <w:top w:w="28" w:type="dxa"/>
          <w:left w:w="28" w:type="dxa"/>
          <w:bottom w:w="28" w:type="dxa"/>
          <w:right w:w="28" w:type="dxa"/>
        </w:tblCellMar>
      </w:tblPr>
      <w:tblGrid>
        <w:gridCol w:w="1685"/>
        <w:gridCol w:w="1483"/>
        <w:gridCol w:w="1496"/>
        <w:gridCol w:w="204"/>
        <w:gridCol w:w="204"/>
        <w:gridCol w:w="208"/>
        <w:gridCol w:w="109"/>
        <w:gridCol w:w="109"/>
        <w:gridCol w:w="109"/>
        <w:gridCol w:w="211"/>
        <w:gridCol w:w="826"/>
        <w:gridCol w:w="109"/>
        <w:gridCol w:w="109"/>
        <w:gridCol w:w="109"/>
        <w:gridCol w:w="109"/>
        <w:gridCol w:w="231"/>
        <w:gridCol w:w="905"/>
        <w:gridCol w:w="168"/>
      </w:tblGrid>
      <w:tr>
        <w:trPr/>
        <w:tc>
          <w:tcPr>
            <w:tcW w:w="16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61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103,759 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7,614 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453,242 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61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47,568 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47,666 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450,862 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452,922 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906,164 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61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3,5,14</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borrowings with related party</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with related party</w:t>
            </w:r>
          </w:p>
        </w:tc>
        <w:tc>
          <w:tcPr>
            <w:tcW w:w="61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40,747 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premium</w:t>
            </w:r>
          </w:p>
        </w:tc>
        <w:tc>
          <w:tcPr>
            <w:tcW w:w="61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comprehensive loss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517,813 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472,125 </w:t>
            </w:r>
          </w:p>
        </w:tc>
        <w:tc>
          <w:tcPr>
            <w:tcW w:w="1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DoubleDown Interactive Co., Ltd.</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841,915 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non-controlling interests</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842,033 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6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971,184 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906,164 </w:t>
            </w:r>
          </w:p>
        </w:tc>
        <w:tc>
          <w:tcPr>
            <w:tcW w:w="16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See accompanying notes to the condensed consolidated interim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8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Consolidated Interim Statement of Comprehensive Income</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(Unaudited, in thousands of U.S. dollars, except per share amounts) </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391"/>
        <w:gridCol w:w="1129"/>
        <w:gridCol w:w="1139"/>
        <w:gridCol w:w="190"/>
        <w:gridCol w:w="190"/>
        <w:gridCol w:w="191"/>
        <w:gridCol w:w="109"/>
        <w:gridCol w:w="109"/>
        <w:gridCol w:w="109"/>
        <w:gridCol w:w="221"/>
        <w:gridCol w:w="757"/>
        <w:gridCol w:w="114"/>
        <w:gridCol w:w="114"/>
        <w:gridCol w:w="114"/>
        <w:gridCol w:w="114"/>
        <w:gridCol w:w="221"/>
        <w:gridCol w:w="757"/>
        <w:gridCol w:w="114"/>
        <w:gridCol w:w="109"/>
        <w:gridCol w:w="109"/>
        <w:gridCol w:w="109"/>
        <w:gridCol w:w="211"/>
        <w:gridCol w:w="888"/>
        <w:gridCol w:w="109"/>
        <w:gridCol w:w="109"/>
        <w:gridCol w:w="109"/>
        <w:gridCol w:w="109"/>
        <w:gridCol w:w="211"/>
        <w:gridCol w:w="888"/>
        <w:gridCol w:w="161"/>
      </w:tblGrid>
      <w:tr>
        <w:trPr/>
        <w:tc>
          <w:tcPr>
            <w:tcW w:w="139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7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84,813 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88,236 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168,305 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176,379 </w:t>
            </w:r>
          </w:p>
        </w:tc>
        <w:tc>
          <w:tcPr>
            <w:tcW w:w="161"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57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11,14</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(23,687)</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(26,859)</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(47,812)</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(54,278)</w:t>
            </w:r>
          </w:p>
        </w:tc>
        <w:tc>
          <w:tcPr>
            <w:tcW w:w="16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57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(3,973)</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(8,145)</w:t>
            </w:r>
          </w:p>
        </w:tc>
        <w:tc>
          <w:tcPr>
            <w:tcW w:w="16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(52,399)</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(51,878)</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(106,260)</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(108,865)</w:t>
            </w:r>
          </w:p>
        </w:tc>
        <w:tc>
          <w:tcPr>
            <w:tcW w:w="161"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14,965 </w:t>
            </w:r>
          </w:p>
        </w:tc>
        <w:tc>
          <w:tcPr>
            <w:tcW w:w="161"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Profit before income tax</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30,620 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42,518 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63,398 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80,891 </w:t>
            </w:r>
          </w:p>
        </w:tc>
        <w:tc>
          <w:tcPr>
            <w:tcW w:w="161"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33,172 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63,548 </w:t>
            </w:r>
          </w:p>
        </w:tc>
        <w:tc>
          <w:tcPr>
            <w:tcW w:w="161"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 net of tax</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6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translation</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for the interim period</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27,567 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30,631 </w:t>
            </w:r>
          </w:p>
        </w:tc>
        <w:tc>
          <w:tcPr>
            <w:tcW w:w="11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53,014 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58,065 </w:t>
            </w:r>
          </w:p>
        </w:tc>
        <w:tc>
          <w:tcPr>
            <w:tcW w:w="161"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Profit attributable to: </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33,083 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63,407 </w:t>
            </w:r>
          </w:p>
        </w:tc>
        <w:tc>
          <w:tcPr>
            <w:tcW w:w="16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income attributable to: </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57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1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6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See accompanying notes to the condensed consolidated interim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 xml:space="preserve">Consolidated Interim Statement of Changes in Equity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(in thousands of U.S. dollars)</w:t>
      </w:r>
    </w:p>
    <w:tbl>
      <w:tblPr>
        <w:tblW w:w="11908" w:type="dxa"/>
        <w:jc w:val="left"/>
        <w:tblInd w:w="0" w:type="dxa"/>
        <w:tblLayout w:type="fixed"/>
        <w:tblCellMar>
          <w:top w:w="28" w:type="dxa"/>
          <w:left w:w="28" w:type="dxa"/>
          <w:bottom w:w="28" w:type="dxa"/>
          <w:right w:w="28" w:type="dxa"/>
        </w:tblCellMar>
      </w:tblPr>
      <w:tblGrid>
        <w:gridCol w:w="620"/>
        <w:gridCol w:w="395"/>
        <w:gridCol w:w="216"/>
        <w:gridCol w:w="180"/>
        <w:gridCol w:w="180"/>
        <w:gridCol w:w="181"/>
        <w:gridCol w:w="109"/>
        <w:gridCol w:w="109"/>
        <w:gridCol w:w="109"/>
        <w:gridCol w:w="211"/>
        <w:gridCol w:w="721"/>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9"/>
        <w:gridCol w:w="551"/>
        <w:gridCol w:w="131"/>
        <w:gridCol w:w="109"/>
        <w:gridCol w:w="109"/>
        <w:gridCol w:w="109"/>
        <w:gridCol w:w="211"/>
        <w:gridCol w:w="826"/>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Attributable to DoubleDown Interactive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w:t>
              <w:br/>
              <w:t>premium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 -</w:t>
              <w:br/>
              <w:t>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23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of January 1, 2024</w:t>
            </w:r>
          </w:p>
        </w:tc>
        <w:tc>
          <w:tcPr>
            <w:tcW w:w="541"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30"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348,020 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727,688 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1"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727,845 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 for the interim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Profit for the interim period</w:t>
            </w:r>
          </w:p>
        </w:tc>
        <w:tc>
          <w:tcPr>
            <w:tcW w:w="54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63,548 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Sub-total of comprehensive income (loss) for the year </w:t>
            </w:r>
          </w:p>
        </w:tc>
        <w:tc>
          <w:tcPr>
            <w:tcW w:w="54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(5,421)</w:t>
            </w:r>
          </w:p>
        </w:tc>
        <w:tc>
          <w:tcPr>
            <w:tcW w:w="13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57,986 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58,065 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Transaction with owners, recognized directly in equity </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Dividends distributed to noncontrolling interests </w:t>
            </w:r>
          </w:p>
        </w:tc>
        <w:tc>
          <w:tcPr>
            <w:tcW w:w="54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of June 30, 2024 (unaudited)</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with owners, recognized directly in equity</w:t>
            </w:r>
          </w:p>
        </w:tc>
        <w:tc>
          <w:tcPr>
            <w:tcW w:w="54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of January 1, 2025</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 for the interim period</w:t>
            </w:r>
          </w:p>
        </w:tc>
        <w:tc>
          <w:tcPr>
            <w:tcW w:w="54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Profit for the interim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4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3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Sub-total of comprehensive income (loss) for the interim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of June 30, 2025 (unaudited)</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894,831 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895,047 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68" w:before="0" w:after="240"/>
        <w:jc w:val="left"/>
        <w:rPr/>
      </w:pPr>
      <w:r>
        <w:rPr>
          <w:rFonts w:ascii="Times New Roman;serif" w:hAnsi="Times New Roman;serif"/>
          <w:b w:val="false"/>
          <w:i/>
          <w:color w:val="000000"/>
          <w:sz w:val="20"/>
        </w:rPr>
        <w:t>See accompanying notes to the condensed consolidated interim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 xml:space="preserve">Consolidated Interim Statement of Cash Flows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(Unaudited, in thousands of U.S. dollars)</w:t>
      </w:r>
    </w:p>
    <w:tbl>
      <w:tblPr>
        <w:tblW w:w="9517" w:type="dxa"/>
        <w:jc w:val="left"/>
        <w:tblInd w:w="0" w:type="dxa"/>
        <w:tblLayout w:type="fixed"/>
        <w:tblCellMar>
          <w:top w:w="28" w:type="dxa"/>
          <w:left w:w="28" w:type="dxa"/>
          <w:bottom w:w="28" w:type="dxa"/>
          <w:right w:w="28" w:type="dxa"/>
        </w:tblCellMar>
      </w:tblPr>
      <w:tblGrid>
        <w:gridCol w:w="2045"/>
        <w:gridCol w:w="1799"/>
        <w:gridCol w:w="1811"/>
        <w:gridCol w:w="289"/>
        <w:gridCol w:w="289"/>
        <w:gridCol w:w="293"/>
        <w:gridCol w:w="109"/>
        <w:gridCol w:w="109"/>
        <w:gridCol w:w="109"/>
        <w:gridCol w:w="211"/>
        <w:gridCol w:w="826"/>
        <w:gridCol w:w="109"/>
        <w:gridCol w:w="109"/>
        <w:gridCol w:w="109"/>
        <w:gridCol w:w="109"/>
        <w:gridCol w:w="211"/>
        <w:gridCol w:w="826"/>
        <w:gridCol w:w="154"/>
      </w:tblGrid>
      <w:tr>
        <w:trPr/>
        <w:tc>
          <w:tcPr>
            <w:tcW w:w="2045"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(used in) operating activities</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profit to net cash from operating activities:</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foreign currency</w:t>
            </w:r>
          </w:p>
        </w:tc>
        <w:tc>
          <w:tcPr>
            <w:tcW w:w="871"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(3,537)</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valuation of financial assets</w:t>
            </w:r>
          </w:p>
        </w:tc>
        <w:tc>
          <w:tcPr>
            <w:tcW w:w="871"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1"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income</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severance benefits</w:t>
            </w:r>
          </w:p>
        </w:tc>
        <w:tc>
          <w:tcPr>
            <w:tcW w:w="871"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employee benefits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17,343 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adjustments: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(6,632)</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generated from operations</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66,295 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65,898 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inflow from operating activities </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60,780 </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70,519 </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Disposal of property and equipment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(164,311)</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(71,742)</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of short-term investment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(outflow) from investing activities </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(17,761)</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lease liabilities</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(outflow) from financing activities </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5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interim period</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interim period</w:t>
            </w:r>
          </w:p>
        </w:tc>
        <w:tc>
          <w:tcPr>
            <w:tcW w:w="87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377,419 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269,156 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68" w:before="0" w:after="240"/>
        <w:jc w:val="left"/>
        <w:rPr/>
      </w:pPr>
      <w:r>
        <w:rPr>
          <w:rFonts w:ascii="Times New Roman;serif" w:hAnsi="Times New Roman;serif"/>
          <w:b w:val="false"/>
          <w:i/>
          <w:color w:val="000000"/>
          <w:sz w:val="20"/>
        </w:rPr>
        <w:t>See accompanying notes to the condensed consolidated interim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 xml:space="preserve">Notes to the Condensed Consolidated Interim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ind w:left="0" w:right="0" w:hanging="360"/>
        <w:jc w:val="left"/>
        <w:rPr>
          <w:rFonts w:ascii="Times New Roman;serif" w:hAnsi="Times New Roman;serif"/>
          <w:b/>
          <w:color w:val="000000"/>
          <w:sz w:val="20"/>
        </w:rPr>
      </w:pPr>
      <w:r>
        <w:rPr>
          <w:rFonts w:ascii="Times New Roman;serif" w:hAnsi="Times New Roman;serif"/>
          <w:b/>
          <w:color w:val="000000"/>
          <w:sz w:val="20"/>
        </w:rPr>
        <w:t>1.    General information</w:t>
      </w:r>
    </w:p>
    <w:p>
      <w:pPr>
        <w:pStyle w:val="TextBody"/>
        <w:bidi w:val="0"/>
        <w:spacing w:lineRule="auto" w:line="333" w:before="120" w:after="283"/>
        <w:jc w:val="left"/>
        <w:rPr>
          <w:rFonts w:ascii="Times New Roman;serif" w:hAnsi="Times New Roman;serif"/>
          <w:b/>
          <w:i/>
          <w:color w:val="000000"/>
          <w:sz w:val="20"/>
        </w:rPr>
      </w:pPr>
      <w:r>
        <w:rPr>
          <w:rFonts w:ascii="Times New Roman;serif" w:hAnsi="Times New Roman;serif"/>
          <w:b/>
          <w:i/>
          <w:color w:val="000000"/>
          <w:sz w:val="20"/>
        </w:rPr>
        <w:t xml:space="preserve">Background and nature of operations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 (“DDI,” “we,” “us,” “Parent Company,” “our” or “the Company,” formerly known as The8Games Co., Ltd.) was incorporated in 2008 in Seoul, Korea as an interactive entertainment studio, focused on the development and publishing of casual games and mobile applications. DDI is a subsidiary of DoubleU Games Co., Ltd. (“DUG” or “DoubleU Games”), a Korean company and our controlling shareholder holding 67.1% of our outstanding shares. In 2017, DDI acquired DoubleDown Interactive, LLC (“DDI-US”) from International Gaming Technologies (“IGT”) for approximately $825 million. DDI-US, with its principal place of business located in Seattle, Washington, is our primary revenue-generating company. On October 31, 2023, the Company closed the acquisition of iGaming operator, SuprNation AB (together with its subsidiaries, “SuprNation”). The acquisition diversifies the digital games categories that the Company addresses with the addition of three real-money iGaming sites in Europe. Following the closing, SuprNation AB is a direct, wholly-owned subsidiary of DDI-US.</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We develop and publish digital gaming contents on various mobile and web platforms through our multi-format interactive all-in-one game experience concept. We host DoubleDown Casino, DoubleDown Classic, and DoubleDown Fort Knox within various formats, as well as SuprNation’s three brands, Duelz, VoodooDreams, NYSpins, on web platforms.</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2, 2021, we completed our initial public offering (“IPO”) of American Depositary Shares (“ADSs”), each representing 0.05 share of a common share, with par value of ₩10,000 per share, of the Company. Our ADSs trade on the NASDAQ Stock Market (“NASDAQ”) under the symbol “DDI.”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2.    Basis of preparation and material accounting policies </w:t>
      </w:r>
    </w:p>
    <w:p>
      <w:pPr>
        <w:pStyle w:val="TextBody"/>
        <w:bidi w:val="0"/>
        <w:spacing w:lineRule="auto" w:line="333" w:before="200" w:after="283"/>
        <w:jc w:val="left"/>
        <w:rPr>
          <w:rFonts w:ascii="Times New Roman;serif" w:hAnsi="Times New Roman;serif"/>
          <w:b/>
          <w:i/>
          <w:color w:val="000000"/>
          <w:sz w:val="20"/>
        </w:rPr>
      </w:pPr>
      <w:r>
        <w:rPr>
          <w:rFonts w:ascii="Times New Roman;serif" w:hAnsi="Times New Roman;serif"/>
          <w:b/>
          <w:i/>
          <w:color w:val="000000"/>
          <w:sz w:val="20"/>
        </w:rPr>
        <w:t>Basis of preparation</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interim financial statements are presented in conformity with International Financial Reporting Standards (“IFRS Accounting Standards”) as issued by International Accounting Standard Board (“IASB”), and include the accounts of DDI and its controlled subsidiaries. All intercompany transactions, balances, and unrealized gains or losses have been eliminated. Our unaudited condensed consolidated interim financial statements include all adjustments of a normal, recurring nature necessary for the fair statement of the results for the interim periods presented. The results for the interim period presented are not necessarily indicative of those for the full year. The condensed consolidated interim financial statements should be read in conjunction with our consolidated financial statements for the year ended December 31, 2024.</w:t>
      </w:r>
    </w:p>
    <w:p>
      <w:pPr>
        <w:pStyle w:val="TextBody"/>
        <w:bidi w:val="0"/>
        <w:spacing w:lineRule="auto" w:line="333" w:before="36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IFRS requires estimates and assumptions that affect the reported amounts of assets and liabilities, revenues and expenses, and related disclosures.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The actual results experienced may differ materially and adversely from these estimates. To the extent there are material differences between the estimates and the actual results, future operating results may be affected.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significant accounting estimates and assumptions used in the preparation of these condensed consolidated interim financial statements are consistent with those applied in the preparation of the annual consolidated financial statements for the year ended December 31, 2024, except for the estimation method used in determining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income tax expense for the interim period is calculated by applying the estimated average annual effective tax rate to the profit before tax for the period.</w:t>
      </w:r>
    </w:p>
    <w:p>
      <w:pPr>
        <w:pStyle w:val="TextBody"/>
        <w:bidi w:val="0"/>
        <w:spacing w:lineRule="auto" w:line="333" w:before="360" w:after="283"/>
        <w:jc w:val="left"/>
        <w:rPr>
          <w:rFonts w:ascii="Times New Roman;serif" w:hAnsi="Times New Roman;serif"/>
          <w:b/>
          <w:i/>
          <w:color w:val="000000"/>
          <w:sz w:val="20"/>
        </w:rPr>
      </w:pPr>
      <w:r>
        <w:rPr>
          <w:rFonts w:ascii="Times New Roman;serif" w:hAnsi="Times New Roman;serif"/>
          <w:b/>
          <w:i/>
          <w:color w:val="000000"/>
          <w:sz w:val="20"/>
        </w:rPr>
        <w:t>Accounting policies</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accounting policies applied in the preparation of these condensed consolidated interim financial statements are consistent with those applied in the preparation of the consolidated financial statements as of and for the year ended December 31, 2024, except for the adoption of new standards or interpretations effective from January 1, 2025.</w:t>
      </w:r>
    </w:p>
    <w:p>
      <w:pPr>
        <w:pStyle w:val="TextBody"/>
        <w:bidi w:val="0"/>
        <w:spacing w:lineRule="auto" w:line="333" w:before="360" w:after="283"/>
        <w:jc w:val="left"/>
        <w:rPr>
          <w:rFonts w:ascii="Times New Roman;serif" w:hAnsi="Times New Roman;serif"/>
          <w:b/>
          <w:i/>
          <w:color w:val="000000"/>
          <w:sz w:val="20"/>
        </w:rPr>
      </w:pPr>
      <w:r>
        <w:rPr>
          <w:rFonts w:ascii="Times New Roman;serif" w:hAnsi="Times New Roman;serif"/>
          <w:b/>
          <w:i/>
          <w:color w:val="000000"/>
          <w:sz w:val="20"/>
        </w:rPr>
        <w:t>New standards and interpretations adopted during the interim period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Amendments to IAS 21 - Lack of Exchangeability</w:t>
      </w:r>
    </w:p>
    <w:p>
      <w:pPr>
        <w:pStyle w:val="TextBody"/>
        <w:bidi w:val="0"/>
        <w:spacing w:lineRule="auto" w:line="333"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amendment to IAS 21 The Effects of Changes in Foreign Exchange Rates will require the application of a consistent approach when assessing whether a currency can be exchanged for another currency and, when it cannot, determining the exchange rate to be used, and the related disclosures. The amendments are effective for annual reporting periods beginning on or after January 1, 2025, with earlier adoption permitted. The adoption of these amendments does not have a material impact on the Company’s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ind w:left="0" w:right="0" w:hanging="522"/>
        <w:jc w:val="left"/>
        <w:rPr>
          <w:rFonts w:ascii="Times New Roman;serif" w:hAnsi="Times New Roman;serif"/>
          <w:b/>
          <w:color w:val="000000"/>
          <w:sz w:val="20"/>
        </w:rPr>
      </w:pPr>
      <w:r>
        <w:rPr>
          <w:rFonts w:ascii="Times New Roman;serif" w:hAnsi="Times New Roman;serif"/>
          <w:b/>
          <w:color w:val="000000"/>
          <w:sz w:val="20"/>
        </w:rPr>
        <w:t>3.    Financial instruments</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3.1.    Financial assets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by category as of June 30, 2025 and December 31, 2024 are as follows (in thousands):</w:t>
      </w:r>
    </w:p>
    <w:tbl>
      <w:tblPr>
        <w:tblW w:w="8819" w:type="dxa"/>
        <w:jc w:val="left"/>
        <w:tblInd w:w="0" w:type="dxa"/>
        <w:tblLayout w:type="fixed"/>
        <w:tblCellMar>
          <w:top w:w="28" w:type="dxa"/>
          <w:left w:w="28" w:type="dxa"/>
          <w:bottom w:w="28" w:type="dxa"/>
          <w:right w:w="28" w:type="dxa"/>
        </w:tblCellMar>
      </w:tblPr>
      <w:tblGrid>
        <w:gridCol w:w="1503"/>
        <w:gridCol w:w="1319"/>
        <w:gridCol w:w="1332"/>
        <w:gridCol w:w="1172"/>
        <w:gridCol w:w="605"/>
        <w:gridCol w:w="608"/>
        <w:gridCol w:w="1013"/>
        <w:gridCol w:w="522"/>
        <w:gridCol w:w="745"/>
      </w:tblGrid>
      <w:tr>
        <w:trPr/>
        <w:tc>
          <w:tcPr>
            <w:tcW w:w="150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assets at fair value</w:t>
              <w:br/>
              <w:t> through profit or loss</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Financial assets measured </w:t>
              <w:br/>
              <w:t>at amortized cost</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2385"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377,419</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38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2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103,759</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30,304</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238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2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512,788</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2385"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DDEBF7"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72"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13"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240"/>
        <w:jc w:val="left"/>
        <w:rPr/>
      </w:pPr>
      <w:r>
        <w:rPr/>
      </w:r>
    </w:p>
    <w:tbl>
      <w:tblPr>
        <w:tblW w:w="8819" w:type="dxa"/>
        <w:jc w:val="left"/>
        <w:tblInd w:w="0" w:type="dxa"/>
        <w:tblLayout w:type="fixed"/>
        <w:tblCellMar>
          <w:top w:w="28" w:type="dxa"/>
          <w:left w:w="28" w:type="dxa"/>
          <w:bottom w:w="28" w:type="dxa"/>
          <w:right w:w="28" w:type="dxa"/>
        </w:tblCellMar>
      </w:tblPr>
      <w:tblGrid>
        <w:gridCol w:w="1503"/>
        <w:gridCol w:w="1319"/>
        <w:gridCol w:w="1332"/>
        <w:gridCol w:w="1175"/>
        <w:gridCol w:w="602"/>
        <w:gridCol w:w="608"/>
        <w:gridCol w:w="1011"/>
        <w:gridCol w:w="519"/>
        <w:gridCol w:w="750"/>
      </w:tblGrid>
      <w:tr>
        <w:trPr/>
        <w:tc>
          <w:tcPr>
            <w:tcW w:w="150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assets at fair value</w:t>
              <w:br/>
              <w:t> through profit or loss</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Financial assets measured </w:t>
              <w:br/>
              <w:t>at amortized cost</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2385"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334,850</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38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2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80,000</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30,778</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238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2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448,624</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2385"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DDEBF7"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5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75"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1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333" w:before="200" w:after="283"/>
        <w:ind w:left="0" w:right="0" w:hanging="522"/>
        <w:jc w:val="left"/>
        <w:rPr>
          <w:rFonts w:ascii="Times New Roman;serif" w:hAnsi="Times New Roman;serif"/>
          <w:b/>
          <w:color w:val="000000"/>
          <w:sz w:val="20"/>
        </w:rPr>
      </w:pPr>
      <w:r>
        <w:rPr>
          <w:rFonts w:ascii="Times New Roman;serif" w:hAnsi="Times New Roman;serif"/>
          <w:b/>
          <w:color w:val="000000"/>
          <w:sz w:val="20"/>
        </w:rPr>
        <w:t>3.2.    Financial liabilities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Financial liabilities by category as of June 30, 2025 and December 31, 2024 are as follows (in thousands):</w:t>
      </w:r>
    </w:p>
    <w:tbl>
      <w:tblPr>
        <w:tblW w:w="10205" w:type="dxa"/>
        <w:jc w:val="left"/>
        <w:tblInd w:w="0" w:type="dxa"/>
        <w:tblLayout w:type="fixed"/>
        <w:tblCellMar>
          <w:top w:w="28" w:type="dxa"/>
          <w:left w:w="28" w:type="dxa"/>
          <w:bottom w:w="28" w:type="dxa"/>
          <w:right w:w="28" w:type="dxa"/>
        </w:tblCellMar>
      </w:tblPr>
      <w:tblGrid>
        <w:gridCol w:w="1457"/>
        <w:gridCol w:w="1244"/>
        <w:gridCol w:w="1253"/>
        <w:gridCol w:w="1914"/>
        <w:gridCol w:w="1008"/>
        <w:gridCol w:w="994"/>
        <w:gridCol w:w="1023"/>
        <w:gridCol w:w="555"/>
        <w:gridCol w:w="757"/>
      </w:tblGrid>
      <w:tr>
        <w:trPr/>
        <w:tc>
          <w:tcPr>
            <w:tcW w:w="145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liabilities at fair value through profit or loss</w:t>
            </w:r>
          </w:p>
        </w:tc>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liabilities measured</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at amortized cost</w:t>
            </w:r>
          </w:p>
        </w:tc>
      </w:tr>
      <w:tr>
        <w:trPr/>
        <w:tc>
          <w:tcPr>
            <w:tcW w:w="3954"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91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9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15,891</w:t>
            </w:r>
          </w:p>
        </w:tc>
      </w:tr>
      <w:tr>
        <w:trPr/>
        <w:tc>
          <w:tcPr>
            <w:tcW w:w="3954"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Accrued expenses </w:t>
            </w:r>
            <w:r>
              <w:rPr>
                <w:rFonts w:ascii="Times New Roman;serif" w:hAnsi="Times New Roman;serif"/>
                <w:b w:val="false"/>
                <w:color w:val="000000"/>
                <w:sz w:val="13"/>
              </w:rPr>
              <w:t>(1)</w:t>
            </w:r>
          </w:p>
        </w:tc>
        <w:tc>
          <w:tcPr>
            <w:tcW w:w="391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33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6,615</w:t>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r>
      <w:tr>
        <w:trPr/>
        <w:tc>
          <w:tcPr>
            <w:tcW w:w="3954"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Current portion of borrowings with related party</w:t>
            </w:r>
          </w:p>
        </w:tc>
        <w:tc>
          <w:tcPr>
            <w:tcW w:w="391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33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36,862</w:t>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r>
      <w:tr>
        <w:trPr/>
        <w:tc>
          <w:tcPr>
            <w:tcW w:w="3954"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liabilities at fair value through profit or loss</w:t>
            </w:r>
          </w:p>
        </w:tc>
        <w:tc>
          <w:tcPr>
            <w:tcW w:w="391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233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9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10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62,247</w:t>
            </w:r>
          </w:p>
        </w:tc>
      </w:tr>
      <w:tr>
        <w:trPr/>
        <w:tc>
          <w:tcPr>
            <w:tcW w:w="3954"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916"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3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w:t>
            </w:r>
          </w:p>
        </w:tc>
      </w:tr>
      <w:tr>
        <w:trPr/>
        <w:tc>
          <w:tcPr>
            <w:tcW w:w="3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ind w:left="0" w:right="0" w:hanging="27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Annual leave allowance that should be paid to employees is excluded</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228"/>
        <w:gridCol w:w="1067"/>
        <w:gridCol w:w="1076"/>
        <w:gridCol w:w="1256"/>
        <w:gridCol w:w="2421"/>
        <w:gridCol w:w="654"/>
        <w:gridCol w:w="485"/>
        <w:gridCol w:w="1660"/>
        <w:gridCol w:w="358"/>
      </w:tblGrid>
      <w:tr>
        <w:trPr/>
        <w:tc>
          <w:tcPr>
            <w:tcW w:w="122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6"/>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liabilities at fair value through profit or loss</w:t>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liabilities measured</w:t>
              <w:br/>
              <w:t> at amortized cost</w:t>
            </w:r>
          </w:p>
        </w:tc>
      </w:tr>
      <w:tr>
        <w:trPr/>
        <w:tc>
          <w:tcPr>
            <w:tcW w:w="3371" w:type="dxa"/>
            <w:gridSpan w:val="3"/>
            <w:tcBorders/>
            <w:shd w:fill="DDEBF7"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433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56" w:type="dxa"/>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1" w:type="dxa"/>
            <w:tcBorders/>
            <w:shd w:fill="FFFFFF"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DDEBF7" w:val="clear"/>
            <w:tcMar>
              <w:top w:w="0" w:type="dxa"/>
              <w:left w:w="0" w:type="dxa"/>
              <w:bottom w:w="0" w:type="dxa"/>
              <w:right w:w="0" w:type="dxa"/>
            </w:tcMar>
            <w:vAlign w:val="center"/>
          </w:tcPr>
          <w:p>
            <w:pPr>
              <w:pStyle w:val="TableContents"/>
              <w:bidi w:val="0"/>
              <w:spacing w:lineRule="auto" w:line="333" w:before="0" w:after="240"/>
              <w:jc w:val="left"/>
              <w:rPr/>
            </w:pPr>
            <w:r>
              <w:rPr>
                <w:rFonts w:ascii="Times New Roman;serif" w:hAnsi="Times New Roman;serif"/>
                <w:b w:val="false"/>
                <w:color w:val="000000"/>
                <w:sz w:val="20"/>
              </w:rPr>
              <w:t xml:space="preserve">Accrued expenses </w:t>
            </w:r>
            <w:r>
              <w:rPr>
                <w:rFonts w:ascii="Times New Roman;serif" w:hAnsi="Times New Roman;serif"/>
                <w:b w:val="false"/>
                <w:color w:val="000000"/>
                <w:sz w:val="13"/>
              </w:rPr>
              <w:t>(1)</w:t>
            </w:r>
          </w:p>
        </w:tc>
        <w:tc>
          <w:tcPr>
            <w:tcW w:w="3677" w:type="dxa"/>
            <w:gridSpan w:val="2"/>
            <w:tcBorders/>
            <w:shd w:fill="DDEBF7"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6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DDEBF7"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12,101 </w:t>
            </w:r>
          </w:p>
        </w:tc>
        <w:tc>
          <w:tcPr>
            <w:tcW w:w="35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677" w:type="dxa"/>
            <w:gridSpan w:val="2"/>
            <w:tcBorders/>
            <w:shd w:fill="FFFFFF"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DDEBF7"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6" w:type="dxa"/>
            <w:tcBorders/>
            <w:shd w:fill="DDEBF7"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1" w:type="dxa"/>
            <w:tcBorders/>
            <w:shd w:fill="DDEBF7"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6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DDEBF7"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shd w:fill="DDEBF7"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16,152 </w:t>
            </w:r>
          </w:p>
        </w:tc>
        <w:tc>
          <w:tcPr>
            <w:tcW w:w="35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4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DDEBF7"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3677" w:type="dxa"/>
            <w:gridSpan w:val="2"/>
            <w:tcBorders/>
            <w:shd w:fill="DDEBF7"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6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DDEBF7"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35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borrowings with related party </w:t>
            </w:r>
          </w:p>
        </w:tc>
        <w:tc>
          <w:tcPr>
            <w:tcW w:w="3677" w:type="dxa"/>
            <w:gridSpan w:val="2"/>
            <w:tcBorders/>
            <w:shd w:fill="FFFFFF"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DDEBF7"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677" w:type="dxa"/>
            <w:gridSpan w:val="2"/>
            <w:tcBorders/>
            <w:shd w:fill="DDEBF7"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6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DDEBF7"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35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6" w:type="dxa"/>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1" w:type="dxa"/>
            <w:tcBorders/>
            <w:shd w:fill="FFFFFF"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38,460 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ind w:left="0" w:right="0" w:hanging="27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Annual leave allowance that should be paid to employees is excluded</w:t>
      </w:r>
      <w:r>
        <w:rPr>
          <w:rFonts w:ascii="Times New Roman;serif" w:hAnsi="Times New Roman;serif"/>
          <w:b w:val="false"/>
          <w:color w:val="000000"/>
          <w:sz w:val="20"/>
        </w:rPr>
        <w:t>.</w:t>
      </w:r>
    </w:p>
    <w:p>
      <w:pPr>
        <w:pStyle w:val="TextBody"/>
        <w:bidi w:val="0"/>
        <w:spacing w:lineRule="auto" w:line="333" w:before="200" w:after="283"/>
        <w:ind w:left="0" w:right="0" w:hanging="522"/>
        <w:jc w:val="left"/>
        <w:rPr>
          <w:rFonts w:ascii="Times New Roman;serif" w:hAnsi="Times New Roman;serif"/>
          <w:b/>
          <w:color w:val="000000"/>
          <w:sz w:val="20"/>
        </w:rPr>
      </w:pPr>
      <w:r>
        <w:rPr>
          <w:rFonts w:ascii="Times New Roman;serif" w:hAnsi="Times New Roman;serif"/>
          <w:b/>
          <w:color w:val="000000"/>
          <w:sz w:val="20"/>
        </w:rPr>
        <w:t>3.3.    Fair value hierarchy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hierarchy classifications of the financial assets and liabilities that are measured at fair value disclosed in fair value as of June 30, 2025 and December 31, 2024 are as follows (in thousands):</w:t>
      </w:r>
    </w:p>
    <w:tbl>
      <w:tblPr>
        <w:tblW w:w="8649" w:type="dxa"/>
        <w:jc w:val="left"/>
        <w:tblInd w:w="0" w:type="dxa"/>
        <w:tblLayout w:type="fixed"/>
        <w:tblCellMar>
          <w:top w:w="28" w:type="dxa"/>
          <w:left w:w="28" w:type="dxa"/>
          <w:bottom w:w="28" w:type="dxa"/>
          <w:right w:w="28" w:type="dxa"/>
        </w:tblCellMar>
      </w:tblPr>
      <w:tblGrid>
        <w:gridCol w:w="2020"/>
        <w:gridCol w:w="1774"/>
        <w:gridCol w:w="1786"/>
        <w:gridCol w:w="211"/>
        <w:gridCol w:w="406"/>
        <w:gridCol w:w="109"/>
        <w:gridCol w:w="211"/>
        <w:gridCol w:w="406"/>
        <w:gridCol w:w="109"/>
        <w:gridCol w:w="211"/>
        <w:gridCol w:w="466"/>
        <w:gridCol w:w="109"/>
        <w:gridCol w:w="211"/>
        <w:gridCol w:w="46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5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 and liabilities at fair value through profit or loss</w:t>
            </w:r>
          </w:p>
        </w:tc>
        <w:tc>
          <w:tcPr>
            <w:tcW w:w="72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61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49" w:type="dxa"/>
        <w:jc w:val="left"/>
        <w:tblInd w:w="0" w:type="dxa"/>
        <w:tblLayout w:type="fixed"/>
        <w:tblCellMar>
          <w:top w:w="28" w:type="dxa"/>
          <w:left w:w="28" w:type="dxa"/>
          <w:bottom w:w="28" w:type="dxa"/>
          <w:right w:w="28" w:type="dxa"/>
        </w:tblCellMar>
      </w:tblPr>
      <w:tblGrid>
        <w:gridCol w:w="2020"/>
        <w:gridCol w:w="1774"/>
        <w:gridCol w:w="1786"/>
        <w:gridCol w:w="211"/>
        <w:gridCol w:w="406"/>
        <w:gridCol w:w="109"/>
        <w:gridCol w:w="211"/>
        <w:gridCol w:w="406"/>
        <w:gridCol w:w="109"/>
        <w:gridCol w:w="211"/>
        <w:gridCol w:w="466"/>
        <w:gridCol w:w="109"/>
        <w:gridCol w:w="211"/>
        <w:gridCol w:w="46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5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 and liabilities at fair value through profit or loss</w:t>
            </w:r>
          </w:p>
        </w:tc>
        <w:tc>
          <w:tcPr>
            <w:tcW w:w="72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61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400" w:after="283"/>
        <w:ind w:left="0" w:right="0" w:hanging="522"/>
        <w:jc w:val="left"/>
        <w:rPr>
          <w:rFonts w:ascii="Times New Roman;serif" w:hAnsi="Times New Roman;serif"/>
          <w:b/>
          <w:color w:val="000000"/>
          <w:sz w:val="20"/>
        </w:rPr>
      </w:pPr>
      <w:r>
        <w:rPr>
          <w:rFonts w:ascii="Times New Roman;serif" w:hAnsi="Times New Roman;serif"/>
          <w:b/>
          <w:color w:val="000000"/>
          <w:sz w:val="20"/>
        </w:rPr>
        <w:t xml:space="preserve">3.4.    Valuation techniques and the inputs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valuation techniques and inputs used for fair value measurements and disclosed fair values categorized within Level 2 and Level 3 of the fair value hierarchy as of June 30, 2025 and December 31, 2024 are as follows (in thousands): </w:t>
      </w:r>
    </w:p>
    <w:tbl>
      <w:tblPr>
        <w:tblW w:w="10205" w:type="dxa"/>
        <w:jc w:val="left"/>
        <w:tblInd w:w="0" w:type="dxa"/>
        <w:tblLayout w:type="fixed"/>
        <w:tblCellMar>
          <w:top w:w="28" w:type="dxa"/>
          <w:left w:w="28" w:type="dxa"/>
          <w:bottom w:w="28" w:type="dxa"/>
          <w:right w:w="28" w:type="dxa"/>
        </w:tblCellMar>
      </w:tblPr>
      <w:tblGrid>
        <w:gridCol w:w="1473"/>
        <w:gridCol w:w="1292"/>
        <w:gridCol w:w="1298"/>
        <w:gridCol w:w="278"/>
        <w:gridCol w:w="813"/>
        <w:gridCol w:w="143"/>
        <w:gridCol w:w="437"/>
        <w:gridCol w:w="969"/>
        <w:gridCol w:w="229"/>
        <w:gridCol w:w="195"/>
        <w:gridCol w:w="195"/>
        <w:gridCol w:w="196"/>
        <w:gridCol w:w="801"/>
        <w:gridCol w:w="776"/>
        <w:gridCol w:w="1110"/>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2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techniques</w:t>
            </w:r>
          </w:p>
        </w:tc>
      </w:tr>
      <w:tr>
        <w:trPr/>
        <w:tc>
          <w:tcPr>
            <w:tcW w:w="406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27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43"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2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687" w:type="dxa"/>
            <w:gridSpan w:val="3"/>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Market-based fair value approach</w:t>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 method</w:t>
            </w:r>
          </w:p>
        </w:tc>
      </w:tr>
      <w:tr>
        <w:trPr/>
        <w:tc>
          <w:tcPr>
            <w:tcW w:w="406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 at fair value through profit or loss</w:t>
            </w:r>
          </w:p>
        </w:tc>
        <w:tc>
          <w:tcPr>
            <w:tcW w:w="278"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43"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DDEBF7"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DDEB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687"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 method</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160" w:after="283"/>
        <w:ind w:left="0" w:right="0" w:hanging="522"/>
        <w:jc w:val="left"/>
        <w:rPr>
          <w:rFonts w:ascii="Times New Roman;serif" w:hAnsi="Times New Roman;serif"/>
          <w:b/>
          <w:color w:val="000000"/>
          <w:sz w:val="20"/>
        </w:rPr>
      </w:pPr>
      <w:r>
        <w:rPr>
          <w:rFonts w:ascii="Times New Roman;serif" w:hAnsi="Times New Roman;serif"/>
          <w:b/>
          <w:color w:val="000000"/>
          <w:sz w:val="20"/>
        </w:rPr>
        <w:t>3.5.    Net gains or losses by category of financial instruments</w:t>
      </w:r>
    </w:p>
    <w:tbl>
      <w:tblPr>
        <w:tblW w:w="9956" w:type="dxa"/>
        <w:jc w:val="left"/>
        <w:tblInd w:w="0" w:type="dxa"/>
        <w:tblLayout w:type="fixed"/>
        <w:tblCellMar>
          <w:top w:w="28" w:type="dxa"/>
          <w:left w:w="28" w:type="dxa"/>
          <w:bottom w:w="28" w:type="dxa"/>
          <w:right w:w="28" w:type="dxa"/>
        </w:tblCellMar>
      </w:tblPr>
      <w:tblGrid>
        <w:gridCol w:w="1698"/>
        <w:gridCol w:w="1495"/>
        <w:gridCol w:w="1502"/>
        <w:gridCol w:w="631"/>
        <w:gridCol w:w="345"/>
        <w:gridCol w:w="345"/>
        <w:gridCol w:w="631"/>
        <w:gridCol w:w="325"/>
        <w:gridCol w:w="325"/>
        <w:gridCol w:w="554"/>
        <w:gridCol w:w="346"/>
        <w:gridCol w:w="344"/>
        <w:gridCol w:w="554"/>
        <w:gridCol w:w="457"/>
        <w:gridCol w:w="404"/>
      </w:tblGrid>
      <w:tr>
        <w:trPr/>
        <w:tc>
          <w:tcPr>
            <w:tcW w:w="169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6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 at fair value through profit or loss</w:t>
            </w:r>
          </w:p>
        </w:tc>
        <w:tc>
          <w:tcPr>
            <w:tcW w:w="132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valuation of financial assets</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valuation of financial assets</w:t>
            </w:r>
          </w:p>
        </w:tc>
        <w:tc>
          <w:tcPr>
            <w:tcW w:w="132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8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4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1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 at amortized cost</w:t>
            </w:r>
          </w:p>
        </w:tc>
        <w:tc>
          <w:tcPr>
            <w:tcW w:w="132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7,914</w:t>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7,260</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foreign currency transactions</w:t>
            </w:r>
          </w:p>
        </w:tc>
        <w:tc>
          <w:tcPr>
            <w:tcW w:w="132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8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w:t>
            </w:r>
          </w:p>
        </w:tc>
        <w:tc>
          <w:tcPr>
            <w:tcW w:w="124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41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4,138</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foreign currency</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3,537</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currency transactions</w:t>
            </w:r>
          </w:p>
        </w:tc>
        <w:tc>
          <w:tcPr>
            <w:tcW w:w="132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28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4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41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3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63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7,068</w:t>
            </w:r>
          </w:p>
        </w:tc>
        <w:tc>
          <w:tcPr>
            <w:tcW w:w="554"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5,161</w:t>
            </w:r>
          </w:p>
        </w:tc>
        <w:tc>
          <w:tcPr>
            <w:tcW w:w="554"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14,406</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7,062</w:t>
            </w:r>
          </w:p>
        </w:tc>
        <w:tc>
          <w:tcPr>
            <w:tcW w:w="5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w:t>
            </w:r>
          </w:p>
        </w:tc>
        <w:tc>
          <w:tcPr>
            <w:tcW w:w="5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14,393</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liabilities at fair value through profit or loss</w:t>
            </w:r>
          </w:p>
        </w:tc>
        <w:tc>
          <w:tcPr>
            <w:tcW w:w="132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valuation of financial liabilities</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5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3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63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4"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554"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 at amortized cost</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2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28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24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41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foreign currency transactions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foreign currency</w:t>
            </w:r>
          </w:p>
        </w:tc>
        <w:tc>
          <w:tcPr>
            <w:tcW w:w="132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8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24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1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currency transactions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69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3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631"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554"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554"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5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(3,789)</w:t>
            </w:r>
          </w:p>
        </w:tc>
        <w:tc>
          <w:tcPr>
            <w:tcW w:w="5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83"/>
        <w:jc w:val="left"/>
        <w:rPr/>
      </w:pPr>
      <w:r>
        <w:rPr/>
      </w:r>
    </w:p>
    <w:p>
      <w:pPr>
        <w:pStyle w:val="TextBody"/>
        <w:bidi w:val="0"/>
        <w:spacing w:lineRule="auto" w:line="333" w:before="400" w:after="283"/>
        <w:ind w:left="0" w:right="0" w:hanging="522"/>
        <w:jc w:val="left"/>
        <w:rPr>
          <w:rFonts w:ascii="Times New Roman;serif" w:hAnsi="Times New Roman;serif"/>
          <w:b/>
          <w:color w:val="000000"/>
          <w:sz w:val="20"/>
        </w:rPr>
      </w:pPr>
      <w:r>
        <w:rPr>
          <w:rFonts w:ascii="Times New Roman;serif" w:hAnsi="Times New Roman;serif"/>
          <w:b/>
          <w:color w:val="000000"/>
          <w:sz w:val="20"/>
        </w:rPr>
        <w:t>4.    Intangible assets and goodwill</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net book value of intangible assets for the six months ended June 30, 2025 and 2024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before="0" w:after="240"/>
        <w:jc w:val="left"/>
        <w:rPr/>
      </w:pPr>
      <w:r>
        <w:rPr/>
      </w:r>
    </w:p>
    <w:tbl>
      <w:tblPr>
        <w:tblW w:w="10052" w:type="dxa"/>
        <w:jc w:val="left"/>
        <w:tblInd w:w="0" w:type="dxa"/>
        <w:tblLayout w:type="fixed"/>
        <w:tblCellMar>
          <w:top w:w="28" w:type="dxa"/>
          <w:left w:w="28" w:type="dxa"/>
          <w:bottom w:w="28" w:type="dxa"/>
          <w:right w:w="28" w:type="dxa"/>
        </w:tblCellMar>
      </w:tblPr>
      <w:tblGrid>
        <w:gridCol w:w="837"/>
        <w:gridCol w:w="733"/>
        <w:gridCol w:w="739"/>
        <w:gridCol w:w="428"/>
        <w:gridCol w:w="389"/>
        <w:gridCol w:w="392"/>
        <w:gridCol w:w="516"/>
        <w:gridCol w:w="337"/>
        <w:gridCol w:w="339"/>
        <w:gridCol w:w="568"/>
        <w:gridCol w:w="293"/>
        <w:gridCol w:w="295"/>
        <w:gridCol w:w="509"/>
        <w:gridCol w:w="284"/>
        <w:gridCol w:w="287"/>
        <w:gridCol w:w="590"/>
        <w:gridCol w:w="305"/>
        <w:gridCol w:w="306"/>
        <w:gridCol w:w="398"/>
        <w:gridCol w:w="209"/>
        <w:gridCol w:w="212"/>
        <w:gridCol w:w="260"/>
        <w:gridCol w:w="339"/>
        <w:gridCol w:w="487"/>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Customer</w:t>
              <w:br/>
              <w:t>relationships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Purchased</w:t>
              <w:br/>
              <w:t>technology</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Development</w:t>
              <w:br/>
              <w:t>costs</w:t>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Software</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42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395,804</w:t>
            </w:r>
          </w:p>
        </w:tc>
        <w:tc>
          <w:tcPr>
            <w:tcW w:w="516"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35,009</w:t>
            </w:r>
          </w:p>
        </w:tc>
        <w:tc>
          <w:tcPr>
            <w:tcW w:w="56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6,197</w:t>
            </w:r>
          </w:p>
        </w:tc>
        <w:tc>
          <w:tcPr>
            <w:tcW w:w="509"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w:t>
            </w:r>
          </w:p>
        </w:tc>
        <w:tc>
          <w:tcPr>
            <w:tcW w:w="59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26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443,470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92"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0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20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1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8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r>
      <w:tr>
        <w:trPr/>
        <w:tc>
          <w:tcPr>
            <w:tcW w:w="23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2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397,689</w:t>
            </w:r>
          </w:p>
        </w:tc>
        <w:tc>
          <w:tcPr>
            <w:tcW w:w="516"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35,008</w:t>
            </w:r>
          </w:p>
        </w:tc>
        <w:tc>
          <w:tcPr>
            <w:tcW w:w="56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5,741</w:t>
            </w:r>
          </w:p>
        </w:tc>
        <w:tc>
          <w:tcPr>
            <w:tcW w:w="509"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6,444</w:t>
            </w:r>
          </w:p>
        </w:tc>
        <w:tc>
          <w:tcPr>
            <w:tcW w:w="59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26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445,257</w:t>
            </w:r>
          </w:p>
        </w:tc>
      </w:tr>
    </w:tbl>
    <w:tbl>
      <w:tblPr>
        <w:tblW w:w="10052" w:type="dxa"/>
        <w:jc w:val="left"/>
        <w:tblInd w:w="0" w:type="dxa"/>
        <w:tblLayout w:type="fixed"/>
        <w:tblCellMar>
          <w:top w:w="28" w:type="dxa"/>
          <w:left w:w="28" w:type="dxa"/>
          <w:bottom w:w="28" w:type="dxa"/>
          <w:right w:w="28" w:type="dxa"/>
        </w:tblCellMar>
      </w:tblPr>
      <w:tblGrid>
        <w:gridCol w:w="837"/>
        <w:gridCol w:w="733"/>
        <w:gridCol w:w="739"/>
        <w:gridCol w:w="428"/>
        <w:gridCol w:w="389"/>
        <w:gridCol w:w="392"/>
        <w:gridCol w:w="516"/>
        <w:gridCol w:w="337"/>
        <w:gridCol w:w="339"/>
        <w:gridCol w:w="568"/>
        <w:gridCol w:w="293"/>
        <w:gridCol w:w="295"/>
        <w:gridCol w:w="509"/>
        <w:gridCol w:w="284"/>
        <w:gridCol w:w="287"/>
        <w:gridCol w:w="590"/>
        <w:gridCol w:w="305"/>
        <w:gridCol w:w="306"/>
        <w:gridCol w:w="398"/>
        <w:gridCol w:w="209"/>
        <w:gridCol w:w="212"/>
        <w:gridCol w:w="260"/>
        <w:gridCol w:w="339"/>
        <w:gridCol w:w="487"/>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Customer</w:t>
              <w:br/>
              <w:t>relationships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Purchased</w:t>
              <w:br/>
              <w:t>technology</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Development</w:t>
              <w:br/>
              <w:t>costs</w:t>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Software</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42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396,704</w:t>
            </w:r>
          </w:p>
        </w:tc>
        <w:tc>
          <w:tcPr>
            <w:tcW w:w="516"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56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509"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w:t>
            </w:r>
          </w:p>
        </w:tc>
        <w:tc>
          <w:tcPr>
            <w:tcW w:w="59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26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448,275</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3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92"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20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1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86"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r>
      <w:tr>
        <w:trPr/>
        <w:tc>
          <w:tcPr>
            <w:tcW w:w="23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2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396,236</w:t>
            </w:r>
          </w:p>
        </w:tc>
        <w:tc>
          <w:tcPr>
            <w:tcW w:w="516"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56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7,873</w:t>
            </w:r>
          </w:p>
        </w:tc>
        <w:tc>
          <w:tcPr>
            <w:tcW w:w="509"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6,617</w:t>
            </w:r>
          </w:p>
        </w:tc>
        <w:tc>
          <w:tcPr>
            <w:tcW w:w="59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6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446,195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5.    Lease</w:t>
      </w:r>
    </w:p>
    <w:p>
      <w:pPr>
        <w:pStyle w:val="TextBody"/>
        <w:bidi w:val="0"/>
        <w:spacing w:lineRule="auto" w:line="333" w:before="200" w:after="283"/>
        <w:jc w:val="left"/>
        <w:rPr/>
      </w:pPr>
      <w:r>
        <w:rPr>
          <w:rFonts w:ascii="Times New Roman;serif" w:hAnsi="Times New Roman;serif"/>
          <w:b/>
          <w:color w:val="000000"/>
          <w:sz w:val="20"/>
        </w:rPr>
        <w:t xml:space="preserve">5.1. </w:t>
      </w:r>
      <w:r>
        <w:rPr>
          <w:rFonts w:ascii="Times New Roman;serif" w:hAnsi="Times New Roman;serif"/>
          <w:b w:val="false"/>
          <w:color w:val="000000"/>
          <w:sz w:val="20"/>
        </w:rPr>
        <w:t>Our leases primarily consist of real estate leases for office space and do not have any non-lease components. The leases typically run for a period of 2 ~10 years, with an option to renew or terminate the lease after that date. No restrictions or covenants are imposed on leases, but the lease assets shall not be provided as collateral for borrowings.</w:t>
      </w:r>
    </w:p>
    <w:p>
      <w:pPr>
        <w:pStyle w:val="TextBody"/>
        <w:bidi w:val="0"/>
        <w:spacing w:lineRule="auto" w:line="333" w:before="200" w:after="283"/>
        <w:ind w:left="0" w:right="0" w:hanging="450"/>
        <w:jc w:val="left"/>
        <w:rPr>
          <w:rFonts w:ascii="Times New Roman;serif" w:hAnsi="Times New Roman;serif"/>
          <w:b/>
          <w:color w:val="000000"/>
          <w:sz w:val="20"/>
        </w:rPr>
      </w:pPr>
      <w:r>
        <w:rPr>
          <w:rFonts w:ascii="Times New Roman;serif" w:hAnsi="Times New Roman;serif"/>
          <w:b/>
          <w:color w:val="000000"/>
          <w:sz w:val="20"/>
        </w:rPr>
        <w:t>5.2.    Changes in right-of-use assets and lease liabilities: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right-of-use assets and lease liabilities for the six months ended June 30, 2025 and 2024 are as follows (in thousands):</w:t>
      </w:r>
    </w:p>
    <w:tbl>
      <w:tblPr>
        <w:tblW w:w="6657" w:type="dxa"/>
        <w:jc w:val="left"/>
        <w:tblInd w:w="0" w:type="dxa"/>
        <w:tblLayout w:type="fixed"/>
        <w:tblCellMar>
          <w:top w:w="28" w:type="dxa"/>
          <w:left w:w="28" w:type="dxa"/>
          <w:bottom w:w="28" w:type="dxa"/>
          <w:right w:w="28" w:type="dxa"/>
        </w:tblCellMar>
      </w:tblPr>
      <w:tblGrid>
        <w:gridCol w:w="1299"/>
        <w:gridCol w:w="1138"/>
        <w:gridCol w:w="1147"/>
        <w:gridCol w:w="803"/>
        <w:gridCol w:w="415"/>
        <w:gridCol w:w="416"/>
        <w:gridCol w:w="640"/>
        <w:gridCol w:w="331"/>
        <w:gridCol w:w="468"/>
      </w:tblGrid>
      <w:tr>
        <w:trPr/>
        <w:tc>
          <w:tcPr>
            <w:tcW w:w="12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5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Lease liabilities</w:t>
            </w:r>
          </w:p>
        </w:tc>
      </w:tr>
      <w:tr>
        <w:trPr/>
        <w:tc>
          <w:tcPr>
            <w:tcW w:w="3584" w:type="dxa"/>
            <w:gridSpan w:val="3"/>
            <w:vMerge w:val="continue"/>
            <w:tcBorders/>
            <w:tcMar>
              <w:top w:w="0" w:type="dxa"/>
              <w:left w:w="0" w:type="dxa"/>
              <w:bottom w:w="0" w:type="dxa"/>
              <w:right w:w="0" w:type="dxa"/>
            </w:tcMar>
            <w:vAlign w:val="center"/>
          </w:tcPr>
          <w:p>
            <w:pPr>
              <w:pStyle w:val="Normal"/>
              <w:bidi w:val="0"/>
              <w:jc w:val="left"/>
              <w:rPr/>
            </w:pPr>
            <w:r>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Office</w:t>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8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803"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w:t>
            </w:r>
          </w:p>
        </w:tc>
        <w:tc>
          <w:tcPr>
            <w:tcW w:w="64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8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relating to lease liabilities</w:t>
            </w:r>
          </w:p>
        </w:tc>
        <w:tc>
          <w:tcPr>
            <w:tcW w:w="163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3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lease liabilities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r>
      <w:tr>
        <w:trPr/>
        <w:tc>
          <w:tcPr>
            <w:tcW w:w="358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63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43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before="0" w:after="240"/>
        <w:jc w:val="left"/>
        <w:rPr/>
      </w:pPr>
      <w:r>
        <w:rPr/>
      </w:r>
    </w:p>
    <w:tbl>
      <w:tblPr>
        <w:tblW w:w="6657" w:type="dxa"/>
        <w:jc w:val="left"/>
        <w:tblInd w:w="0" w:type="dxa"/>
        <w:tblLayout w:type="fixed"/>
        <w:tblCellMar>
          <w:top w:w="28" w:type="dxa"/>
          <w:left w:w="28" w:type="dxa"/>
          <w:bottom w:w="28" w:type="dxa"/>
          <w:right w:w="28" w:type="dxa"/>
        </w:tblCellMar>
      </w:tblPr>
      <w:tblGrid>
        <w:gridCol w:w="1299"/>
        <w:gridCol w:w="1138"/>
        <w:gridCol w:w="1147"/>
        <w:gridCol w:w="803"/>
        <w:gridCol w:w="415"/>
        <w:gridCol w:w="416"/>
        <w:gridCol w:w="640"/>
        <w:gridCol w:w="331"/>
        <w:gridCol w:w="468"/>
      </w:tblGrid>
      <w:tr>
        <w:trPr/>
        <w:tc>
          <w:tcPr>
            <w:tcW w:w="12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5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Lease liabilities</w:t>
            </w:r>
          </w:p>
        </w:tc>
      </w:tr>
      <w:tr>
        <w:trPr/>
        <w:tc>
          <w:tcPr>
            <w:tcW w:w="3584" w:type="dxa"/>
            <w:gridSpan w:val="3"/>
            <w:vMerge w:val="continue"/>
            <w:tcBorders/>
            <w:tcMar>
              <w:top w:w="0" w:type="dxa"/>
              <w:left w:w="0" w:type="dxa"/>
              <w:bottom w:w="0" w:type="dxa"/>
              <w:right w:w="0" w:type="dxa"/>
            </w:tcMar>
            <w:vAlign w:val="center"/>
          </w:tcPr>
          <w:p>
            <w:pPr>
              <w:pStyle w:val="Normal"/>
              <w:bidi w:val="0"/>
              <w:jc w:val="left"/>
              <w:rPr/>
            </w:pPr>
            <w:r>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Office</w:t>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8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803"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7,071</w:t>
            </w:r>
          </w:p>
        </w:tc>
        <w:tc>
          <w:tcPr>
            <w:tcW w:w="64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r>
      <w:tr>
        <w:trPr/>
        <w:tc>
          <w:tcPr>
            <w:tcW w:w="3584"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63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c>
          <w:tcPr>
            <w:tcW w:w="143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relating to lease liabilities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358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lease liabilities</w:t>
            </w:r>
          </w:p>
        </w:tc>
        <w:tc>
          <w:tcPr>
            <w:tcW w:w="163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3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r>
      <w:tr>
        <w:trPr/>
        <w:tc>
          <w:tcPr>
            <w:tcW w:w="358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803"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6,553</w:t>
            </w:r>
          </w:p>
        </w:tc>
        <w:tc>
          <w:tcPr>
            <w:tcW w:w="64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6.    Long-term borrowings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borrowings from DoubleU Games as follows (in thousands):</w:t>
      </w:r>
    </w:p>
    <w:tbl>
      <w:tblPr>
        <w:tblW w:w="8051" w:type="dxa"/>
        <w:jc w:val="left"/>
        <w:tblInd w:w="0" w:type="dxa"/>
        <w:tblLayout w:type="fixed"/>
        <w:tblCellMar>
          <w:top w:w="28" w:type="dxa"/>
          <w:left w:w="28" w:type="dxa"/>
          <w:bottom w:w="28" w:type="dxa"/>
          <w:right w:w="28" w:type="dxa"/>
        </w:tblCellMar>
      </w:tblPr>
      <w:tblGrid>
        <w:gridCol w:w="1805"/>
        <w:gridCol w:w="1584"/>
        <w:gridCol w:w="1591"/>
        <w:gridCol w:w="626"/>
        <w:gridCol w:w="335"/>
        <w:gridCol w:w="341"/>
        <w:gridCol w:w="786"/>
        <w:gridCol w:w="406"/>
        <w:gridCol w:w="577"/>
      </w:tblGrid>
      <w:tr>
        <w:trPr/>
        <w:tc>
          <w:tcPr>
            <w:tcW w:w="180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980"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4.6% Senior Notes due to related party due May 27, 2026 </w:t>
            </w:r>
            <w:r>
              <w:rPr>
                <w:rFonts w:ascii="Times New Roman;serif" w:hAnsi="Times New Roman;serif"/>
                <w:b w:val="false"/>
                <w:color w:val="000000"/>
                <w:sz w:val="13"/>
              </w:rPr>
              <w:t>(1)</w:t>
            </w:r>
          </w:p>
        </w:tc>
        <w:tc>
          <w:tcPr>
            <w:tcW w:w="6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36,862</w:t>
            </w:r>
          </w:p>
        </w:tc>
        <w:tc>
          <w:tcPr>
            <w:tcW w:w="78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34,014</w:t>
            </w:r>
          </w:p>
        </w:tc>
      </w:tr>
    </w:tbl>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(1) DoubleU Games extended three loans to us on May 25, 2018, August 27, 2018, and November 26, 2018 (collectively, the “4.6% Senior Notes”), and the aggregate outstanding principal amount as of June 30, 2025 was $36.9 million. In May 2024, a voluntary interest payment of $9.6 million was made, and the maturity of each 4.6% Senior Note, originally due on May 27, 2024, was extended by two years to May 27, 2026, including the remaining outstanding principal amount under the 4.60%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7.    Retirement benefit plan</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7.1 Defined benefit pension plan</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 operate a defined benefit pension plan under employment regulations in Korea. The plan services the employees located in Seoul and is a final wage-based pension plan, which provides a specified amount of pension benefit based on length of service. The service cost components of the net periodic benefit costs are charged to current operations based on the employee’s functional area. The change in actuarial gains or losses, which is not significant, was included in other comprehensive income.</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7.2 Details of defined benefit liabilities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defined benefit liabilities (defined benefit assets) as follows (in thousands): </w:t>
      </w:r>
    </w:p>
    <w:tbl>
      <w:tblPr>
        <w:tblW w:w="6814" w:type="dxa"/>
        <w:jc w:val="left"/>
        <w:tblInd w:w="0" w:type="dxa"/>
        <w:tblLayout w:type="fixed"/>
        <w:tblCellMar>
          <w:top w:w="28" w:type="dxa"/>
          <w:left w:w="28" w:type="dxa"/>
          <w:bottom w:w="28" w:type="dxa"/>
          <w:right w:w="28" w:type="dxa"/>
        </w:tblCellMar>
      </w:tblPr>
      <w:tblGrid>
        <w:gridCol w:w="1327"/>
        <w:gridCol w:w="1163"/>
        <w:gridCol w:w="1170"/>
        <w:gridCol w:w="626"/>
        <w:gridCol w:w="322"/>
        <w:gridCol w:w="327"/>
        <w:gridCol w:w="847"/>
        <w:gridCol w:w="438"/>
        <w:gridCol w:w="440"/>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defined benefit obligations</w:t>
            </w:r>
          </w:p>
        </w:tc>
        <w:tc>
          <w:tcPr>
            <w:tcW w:w="62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84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defined benefit liabilities (assets)</w:t>
            </w:r>
          </w:p>
        </w:tc>
        <w:tc>
          <w:tcPr>
            <w:tcW w:w="626"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847"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income tax expense for the interim period has been recognized based on management’s best estimate of the weighted average annual effective tax rate expected for the full fiscal year ending December 31, 2025. Separately, management estimates that the weighted average annual effective tax rate for the six months ended June 30, 2025 will be 27.8%, compared to 21.4%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Shareholders’ equity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 have 200,000,000 total authorized shares with 2,477,672 common shares issued and outstanding at June 30, 2025 and 2024, and a par value per share is KRW10,000.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9.1. Changes in share capital</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common share, share capital and premium as follows (in thousands, except shares):</w:t>
      </w:r>
    </w:p>
    <w:tbl>
      <w:tblPr>
        <w:tblW w:w="7463" w:type="dxa"/>
        <w:jc w:val="left"/>
        <w:tblInd w:w="0" w:type="dxa"/>
        <w:tblLayout w:type="fixed"/>
        <w:tblCellMar>
          <w:top w:w="28" w:type="dxa"/>
          <w:left w:w="28" w:type="dxa"/>
          <w:bottom w:w="28" w:type="dxa"/>
          <w:right w:w="28" w:type="dxa"/>
        </w:tblCellMar>
      </w:tblPr>
      <w:tblGrid>
        <w:gridCol w:w="837"/>
        <w:gridCol w:w="733"/>
        <w:gridCol w:w="739"/>
        <w:gridCol w:w="464"/>
        <w:gridCol w:w="464"/>
        <w:gridCol w:w="466"/>
        <w:gridCol w:w="568"/>
        <w:gridCol w:w="335"/>
        <w:gridCol w:w="341"/>
        <w:gridCol w:w="649"/>
        <w:gridCol w:w="388"/>
        <w:gridCol w:w="393"/>
        <w:gridCol w:w="260"/>
        <w:gridCol w:w="339"/>
        <w:gridCol w:w="487"/>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 premium</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1394" w:type="dxa"/>
            <w:gridSpan w:val="3"/>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56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w:t>
            </w:r>
          </w:p>
        </w:tc>
        <w:tc>
          <w:tcPr>
            <w:tcW w:w="649"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w:t>
            </w:r>
          </w:p>
        </w:tc>
        <w:tc>
          <w:tcPr>
            <w:tcW w:w="2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380,478</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380,478</w:t>
            </w:r>
          </w:p>
        </w:tc>
      </w:tr>
      <w:tr>
        <w:trPr/>
        <w:tc>
          <w:tcPr>
            <w:tcW w:w="230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139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568"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w:t>
            </w:r>
          </w:p>
        </w:tc>
        <w:tc>
          <w:tcPr>
            <w:tcW w:w="649"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w:t>
            </w:r>
          </w:p>
        </w:tc>
        <w:tc>
          <w:tcPr>
            <w:tcW w:w="26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380,478</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21,198</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359,280</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380,478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10.    Revenue from contract with customers</w:t>
      </w:r>
    </w:p>
    <w:p>
      <w:pPr>
        <w:pStyle w:val="TextBody"/>
        <w:bidi w:val="0"/>
        <w:spacing w:lineRule="auto" w:line="333" w:before="240" w:after="283"/>
        <w:jc w:val="left"/>
        <w:rPr/>
      </w:pPr>
      <w:r>
        <w:rPr>
          <w:rFonts w:ascii="Times New Roman;serif" w:hAnsi="Times New Roman;serif"/>
          <w:b/>
          <w:color w:val="000000"/>
          <w:sz w:val="20"/>
        </w:rPr>
        <w:t>10.1 Disaggregation of</w:t>
      </w:r>
      <w:r>
        <w:rPr>
          <w:color w:val="000000"/>
        </w:rPr>
        <w:t xml:space="preserve"> </w:t>
      </w:r>
      <w:r>
        <w:rPr>
          <w:rFonts w:ascii="Times New Roman;serif" w:hAnsi="Times New Roman;serif"/>
          <w:b/>
          <w:color w:val="000000"/>
          <w:sz w:val="20"/>
        </w:rPr>
        <w:t>revenue</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distinguishes between revenue recognized over time and revenue recognized at a point in time.</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revenue by service contract type and the timing of performance obligation satisfaction (in thousands):</w:t>
      </w:r>
    </w:p>
    <w:tbl>
      <w:tblPr>
        <w:tblW w:w="8080" w:type="dxa"/>
        <w:jc w:val="left"/>
        <w:tblInd w:w="0" w:type="dxa"/>
        <w:tblLayout w:type="fixed"/>
        <w:tblCellMar>
          <w:top w:w="28" w:type="dxa"/>
          <w:left w:w="28" w:type="dxa"/>
          <w:bottom w:w="28" w:type="dxa"/>
          <w:right w:w="28" w:type="dxa"/>
        </w:tblCellMar>
      </w:tblPr>
      <w:tblGrid>
        <w:gridCol w:w="1021"/>
        <w:gridCol w:w="897"/>
        <w:gridCol w:w="901"/>
        <w:gridCol w:w="260"/>
        <w:gridCol w:w="888"/>
        <w:gridCol w:w="134"/>
        <w:gridCol w:w="260"/>
        <w:gridCol w:w="888"/>
        <w:gridCol w:w="134"/>
        <w:gridCol w:w="109"/>
        <w:gridCol w:w="109"/>
        <w:gridCol w:w="109"/>
        <w:gridCol w:w="214"/>
        <w:gridCol w:w="838"/>
        <w:gridCol w:w="110"/>
        <w:gridCol w:w="214"/>
        <w:gridCol w:w="838"/>
        <w:gridCol w:w="156"/>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19"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Type of service </w:t>
            </w:r>
            <w:r>
              <w:rPr>
                <w:rFonts w:ascii="Times New Roman;serif" w:hAnsi="Times New Roman;serif"/>
                <w:b w:val="false"/>
                <w:color w:val="000000"/>
                <w:sz w:val="13"/>
              </w:rPr>
              <w:t>(1)</w:t>
            </w:r>
          </w:p>
        </w:tc>
        <w:tc>
          <w:tcPr>
            <w:tcW w:w="1282"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Geographical market</w:t>
            </w:r>
            <w:r>
              <w:rPr>
                <w:color w:val="000000"/>
              </w:rPr>
              <w:t xml:space="preserve"> </w:t>
            </w:r>
            <w:r>
              <w:rPr>
                <w:rFonts w:ascii="Times New Roman;serif" w:hAnsi="Times New Roman;serif"/>
                <w:b w:val="false"/>
                <w:color w:val="000000"/>
                <w:sz w:val="13"/>
              </w:rPr>
              <w:t>(1)</w:t>
            </w:r>
          </w:p>
        </w:tc>
        <w:tc>
          <w:tcPr>
            <w:tcW w:w="128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10,389 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18,109 </w:t>
            </w:r>
          </w:p>
        </w:tc>
        <w:tc>
          <w:tcPr>
            <w:tcW w:w="11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20,027 </w:t>
            </w:r>
          </w:p>
        </w:tc>
        <w:tc>
          <w:tcPr>
            <w:tcW w:w="15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Timing of revenue recognition </w:t>
            </w:r>
            <w:r>
              <w:rPr>
                <w:rFonts w:ascii="Times New Roman;serif" w:hAnsi="Times New Roman;serif"/>
                <w:b w:val="false"/>
                <w:color w:val="000000"/>
                <w:sz w:val="13"/>
              </w:rPr>
              <w:t>(1)</w:t>
            </w:r>
          </w:p>
        </w:tc>
        <w:tc>
          <w:tcPr>
            <w:tcW w:w="128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the time</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a point in time</w:t>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(1)iGaming revenues are excluded, amounting to $28,686 thousand for the six months ended June 30, 2025 and $16,223 thousand in the six months ended June 30, 2024.</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revenue between mobile and web platforms (in thousands):</w:t>
      </w:r>
    </w:p>
    <w:tbl>
      <w:tblPr>
        <w:tblW w:w="6026" w:type="dxa"/>
        <w:jc w:val="left"/>
        <w:tblInd w:w="0" w:type="dxa"/>
        <w:tblLayout w:type="fixed"/>
        <w:tblCellMar>
          <w:top w:w="28" w:type="dxa"/>
          <w:left w:w="28" w:type="dxa"/>
          <w:bottom w:w="28" w:type="dxa"/>
          <w:right w:w="28" w:type="dxa"/>
        </w:tblCellMar>
      </w:tblPr>
      <w:tblGrid>
        <w:gridCol w:w="277"/>
        <w:gridCol w:w="243"/>
        <w:gridCol w:w="245"/>
        <w:gridCol w:w="260"/>
        <w:gridCol w:w="888"/>
        <w:gridCol w:w="134"/>
        <w:gridCol w:w="260"/>
        <w:gridCol w:w="888"/>
        <w:gridCol w:w="134"/>
        <w:gridCol w:w="109"/>
        <w:gridCol w:w="109"/>
        <w:gridCol w:w="109"/>
        <w:gridCol w:w="214"/>
        <w:gridCol w:w="838"/>
        <w:gridCol w:w="110"/>
        <w:gridCol w:w="214"/>
        <w:gridCol w:w="838"/>
        <w:gridCol w:w="15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2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49,527 </w:t>
            </w:r>
          </w:p>
        </w:tc>
        <w:tc>
          <w:tcPr>
            <w:tcW w:w="13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60,822 </w:t>
            </w:r>
          </w:p>
        </w:tc>
        <w:tc>
          <w:tcPr>
            <w:tcW w:w="13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100,966 </w:t>
            </w:r>
          </w:p>
        </w:tc>
        <w:tc>
          <w:tcPr>
            <w:tcW w:w="110"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121,258 </w:t>
            </w:r>
          </w:p>
        </w:tc>
        <w:tc>
          <w:tcPr>
            <w:tcW w:w="156"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6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80,332 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1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160,156 </w:t>
            </w:r>
          </w:p>
        </w:tc>
        <w:tc>
          <w:tcPr>
            <w:tcW w:w="156"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(1)iGaming revenues are excluded, amounting to $28,686 thousand for the six months ended June 30, 2025 and $16,223 thousand in the six months ended June 30, 2024.</w:t>
      </w:r>
    </w:p>
    <w:p>
      <w:pPr>
        <w:pStyle w:val="TextBody"/>
        <w:bidi w:val="0"/>
        <w:spacing w:before="0" w:after="240"/>
        <w:jc w:val="both"/>
        <w:rPr/>
      </w:pPr>
      <w:r>
        <w:rPr/>
      </w:r>
    </w:p>
    <w:p>
      <w:pPr>
        <w:pStyle w:val="TextBody"/>
        <w:bidi w:val="0"/>
        <w:spacing w:lineRule="auto" w:line="333" w:before="200" w:after="283"/>
        <w:jc w:val="left"/>
        <w:rPr>
          <w:rFonts w:ascii="Times New Roman;serif" w:hAnsi="Times New Roman;serif"/>
          <w:b/>
          <w:color w:val="000000"/>
          <w:sz w:val="20"/>
        </w:rPr>
      </w:pPr>
      <w:r>
        <w:rPr>
          <w:rFonts w:ascii="Times New Roman;serif" w:hAnsi="Times New Roman;serif"/>
          <w:b/>
          <w:color w:val="000000"/>
          <w:sz w:val="20"/>
        </w:rPr>
        <w:t>10.2 Contract assets, contract liabilities with customers</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opening and closing balances in contract assets and contract liabilities (in thousands):</w:t>
      </w:r>
    </w:p>
    <w:tbl>
      <w:tblPr>
        <w:tblW w:w="4917" w:type="dxa"/>
        <w:jc w:val="left"/>
        <w:tblInd w:w="0" w:type="dxa"/>
        <w:tblLayout w:type="fixed"/>
        <w:tblCellMar>
          <w:top w:w="28" w:type="dxa"/>
          <w:left w:w="28" w:type="dxa"/>
          <w:bottom w:w="28" w:type="dxa"/>
          <w:right w:w="28" w:type="dxa"/>
        </w:tblCellMar>
      </w:tblPr>
      <w:tblGrid>
        <w:gridCol w:w="679"/>
        <w:gridCol w:w="597"/>
        <w:gridCol w:w="598"/>
        <w:gridCol w:w="342"/>
        <w:gridCol w:w="756"/>
        <w:gridCol w:w="176"/>
        <w:gridCol w:w="448"/>
        <w:gridCol w:w="992"/>
        <w:gridCol w:w="32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74"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Contract assets</w:t>
            </w:r>
            <w:r>
              <w:rPr>
                <w:color w:val="000000"/>
              </w:rPr>
              <w:t xml:space="preserve"> </w:t>
            </w:r>
            <w:r>
              <w:rPr>
                <w:rFonts w:ascii="Times New Roman;serif" w:hAnsi="Times New Roman;serif"/>
                <w:b w:val="false"/>
                <w:color w:val="000000"/>
                <w:sz w:val="13"/>
              </w:rPr>
              <w:t>(1)</w:t>
            </w:r>
          </w:p>
        </w:tc>
        <w:tc>
          <w:tcPr>
            <w:tcW w:w="342"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76"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32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Contract liabilities</w:t>
            </w:r>
            <w:r>
              <w:rPr>
                <w:color w:val="000000"/>
              </w:rPr>
              <w:t xml:space="preserve"> </w:t>
            </w:r>
            <w:r>
              <w:rPr>
                <w:rFonts w:ascii="Times New Roman;serif" w:hAnsi="Times New Roman;serif"/>
                <w:b w:val="false"/>
                <w:color w:val="000000"/>
                <w:sz w:val="13"/>
              </w:rPr>
              <w:t>(2)</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(1)Contract assets are included within prepaid expenses and other assets in our consolidated interim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(2)The revenue recognized during the current year from the contract liabilities balance at the beginning of the reporting period is $1,754 thousand for the six months ended June 30, 2025 and $2,520 thousand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11.    Classification of operating expenses by nature</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Details of classification of expenses by nature for the three and six months ended June 30, 2025 and 2024 are as follows (in thousands):</w:t>
      </w:r>
    </w:p>
    <w:tbl>
      <w:tblPr>
        <w:tblW w:w="8568" w:type="dxa"/>
        <w:jc w:val="left"/>
        <w:tblInd w:w="0" w:type="dxa"/>
        <w:tblLayout w:type="fixed"/>
        <w:tblCellMar>
          <w:top w:w="28" w:type="dxa"/>
          <w:left w:w="28" w:type="dxa"/>
          <w:bottom w:w="28" w:type="dxa"/>
          <w:right w:w="28" w:type="dxa"/>
        </w:tblCellMar>
      </w:tblPr>
      <w:tblGrid>
        <w:gridCol w:w="1044"/>
        <w:gridCol w:w="915"/>
        <w:gridCol w:w="921"/>
        <w:gridCol w:w="260"/>
        <w:gridCol w:w="888"/>
        <w:gridCol w:w="134"/>
        <w:gridCol w:w="260"/>
        <w:gridCol w:w="888"/>
        <w:gridCol w:w="134"/>
        <w:gridCol w:w="109"/>
        <w:gridCol w:w="109"/>
        <w:gridCol w:w="109"/>
        <w:gridCol w:w="584"/>
        <w:gridCol w:w="368"/>
        <w:gridCol w:w="368"/>
        <w:gridCol w:w="580"/>
        <w:gridCol w:w="368"/>
        <w:gridCol w:w="529"/>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2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3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34"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$12,962 </w:t>
            </w:r>
          </w:p>
        </w:tc>
        <w:tc>
          <w:tcPr>
            <w:tcW w:w="36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$17,901 </w:t>
            </w:r>
          </w:p>
        </w:tc>
        <w:tc>
          <w:tcPr>
            <w:tcW w:w="52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assets</w:t>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52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and dues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and commissions</w:t>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27,555 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29,680 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55,255 </w:t>
            </w:r>
          </w:p>
        </w:tc>
        <w:tc>
          <w:tcPr>
            <w:tcW w:w="3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59,895 </w:t>
            </w:r>
          </w:p>
        </w:tc>
        <w:tc>
          <w:tcPr>
            <w:tcW w:w="52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368"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52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$106,351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$109,023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(1)Total cost of revenue, sales and marketing, research and development and general and administrative expenses per the consolidated interim statement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333" w:before="120" w:after="283"/>
        <w:ind w:left="0" w:right="0" w:hanging="540"/>
        <w:jc w:val="left"/>
        <w:rPr/>
      </w:pPr>
      <w:r>
        <w:rPr>
          <w:rFonts w:ascii="Times New Roman;serif" w:hAnsi="Times New Roman;serif"/>
          <w:b/>
          <w:color w:val="000000"/>
          <w:sz w:val="20"/>
        </w:rPr>
        <w:t>12.1.    </w:t>
      </w:r>
      <w:r>
        <w:rPr>
          <w:rFonts w:ascii="Times New Roman;serif" w:hAnsi="Times New Roman;serif"/>
          <w:b w:val="false"/>
          <w:color w:val="000000"/>
          <w:sz w:val="20"/>
        </w:rPr>
        <w:t>Basic earnings per share is computed by dividing earning by the weighted-average number of common shares outstanding for the period, without consideration for potentially dilutive securities. The following table presents the calculation of basic earnings per share (in thousands, except share and per share amounts):</w:t>
      </w:r>
    </w:p>
    <w:tbl>
      <w:tblPr>
        <w:tblW w:w="9727" w:type="dxa"/>
        <w:jc w:val="left"/>
        <w:tblInd w:w="0" w:type="dxa"/>
        <w:tblLayout w:type="fixed"/>
        <w:tblCellMar>
          <w:top w:w="28" w:type="dxa"/>
          <w:left w:w="28" w:type="dxa"/>
          <w:bottom w:w="28" w:type="dxa"/>
          <w:right w:w="28" w:type="dxa"/>
        </w:tblCellMar>
      </w:tblPr>
      <w:tblGrid>
        <w:gridCol w:w="1615"/>
        <w:gridCol w:w="1422"/>
        <w:gridCol w:w="1433"/>
        <w:gridCol w:w="260"/>
        <w:gridCol w:w="888"/>
        <w:gridCol w:w="134"/>
        <w:gridCol w:w="260"/>
        <w:gridCol w:w="888"/>
        <w:gridCol w:w="134"/>
        <w:gridCol w:w="109"/>
        <w:gridCol w:w="109"/>
        <w:gridCol w:w="109"/>
        <w:gridCol w:w="260"/>
        <w:gridCol w:w="761"/>
        <w:gridCol w:w="134"/>
        <w:gridCol w:w="260"/>
        <w:gridCol w:w="761"/>
        <w:gridCol w:w="190"/>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7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82"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Profit applicable to DoubleDown Interactive Co., Ltd.</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2,477,672 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2,477,672 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2,477,672 </w:t>
            </w:r>
          </w:p>
        </w:tc>
        <w:tc>
          <w:tcPr>
            <w:tcW w:w="134"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2,477,672 </w:t>
            </w:r>
          </w:p>
        </w:tc>
        <w:tc>
          <w:tcPr>
            <w:tcW w:w="190"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ind w:left="0" w:right="0" w:hanging="540"/>
        <w:jc w:val="left"/>
        <w:rPr/>
      </w:pPr>
      <w:r>
        <w:rPr>
          <w:rFonts w:ascii="Times New Roman;serif" w:hAnsi="Times New Roman;serif"/>
          <w:b/>
          <w:color w:val="000000"/>
          <w:sz w:val="20"/>
        </w:rPr>
        <w:t>12.2.    </w:t>
      </w:r>
      <w:r>
        <w:rPr>
          <w:rFonts w:ascii="Times New Roman;serif" w:hAnsi="Times New Roman;serif"/>
          <w:b w:val="false"/>
          <w:color w:val="000000"/>
          <w:sz w:val="20"/>
        </w:rPr>
        <w:t>Diluted earnings per share is computed by dividing profit applicable to owners of the Company by the weighted-average number of common shares and dilutive common share equivalents outstanding for the period. The Company does not have dilutive potential ordinary shares outstanding. Accordingly, the diluted earnings per share for the six months ended June 30, 2025 and 2024 are the same as the basic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13.1.    Publishing and license agreements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DoubleU Games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the DoubleU Games License Agreement on March 7, 2018, which was subsequently amended on July 1, 2019 and November 27, 2019. On October 1, 2023, DDI-US entered into the Game Development Services Agreement with DoubleU Games, which supersedes the DoubleU Games License Agreement. Pursuant to the Game Development Services Agreement, DoubleU Games grants us, through DDI-US, an exclusive license to develop and distribute certain DoubleU Games social casino game titles and sequels thereto in the social online game field of use. We are obligated to pay a royalty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license fee to DoubleU Games in connection with these rights, with certain customary terms and conditions. As of June 30, 2025, we licensed from DUG approximately 50 game titles under the terms of this agreement.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2023, we, through DDI-US, entered into a Game Development Services Agreement with DoubleU Games pursuant to which DDI-US will pay service fees to DoubleU Games for certain game maintenance services and product planning and user analysis services provided by DoubleU Games.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We, through SuprPlay Limited, also entered into a new game license agreement with DoubleU Games with effect from August 20, 2024. We are obligated to pay a royalty license fee to DoubleU Games in connection with these rights, with certain customary terms and conditions.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Gaming Technologies (“IGT”)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2017, we entered into a Game Development, Distribution, and Services Agreement with IGT. Under the terms of the agreement, IGT will deliver game assets so that we can port (a process of converting the assets into functioning slot games by platform) the technology for inclusion in our gaming apps. The agreement includes game assets that are used to create new games. Under the agreement, we paid IGT an initial royalty rate of 10% of revenue for their proprietary assets and 15% of revenue for third-party game asset types. Effective January 1, 2019, we amended the agreement to revise the royalty rate for proprietary game asset types to 7.5% of revenue. The initial term of the agreement is ten (10) years with up to two additional five-year periods. Costs incurred in connection with this agreement for the six months ended June 30, 2025 and 2024 totaled $1.6 million and $2.4 million, respectively, and are recognized as a component of cost of revenue.</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13.2.    Legal contingencies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is a defendant in four lawsuits seeking damages, filed in the states of Alabama, Kentucky, and Tennessee. These lawsuits allege that the Company’s social casino-themed games constitute unlawful gambling under state laws. The Company denies the allegations, contends its games are not gambling under the applicable law, contends that the case suffers from various procedural defects. At this time, the Company is unable to reasonably predict the outcome of these legal proceedings and cannot estimate what impact, if any, the litigation may have on the Company’s condensed consolidated interim financial statements.</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13.3.    Director and Officers’ indemnification agreement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maximum aggregate liability for all loss and expenses on account of any and all requests for indemnity under the Indemnification Agreement or any similar indemnity agreement with any other indemnitee will be $5,000,000 per every 12-month period.</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13.4.    Other matters</w:t>
      </w:r>
    </w:p>
    <w:p>
      <w:pPr>
        <w:pStyle w:val="TextBody"/>
        <w:bidi w:val="0"/>
        <w:spacing w:lineRule="auto" w:line="333"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IGT Letter</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2025, DDI-US received a letter from IGT (“IGT Letter”) purporting to terminate the Company’s licenses to develop and distribute IGT social casino game titles throughout the United States. The IGT Letter cited the January 2025 public memo issued by the Washington State Gambling Commission (“WSGC”), where the WSGC encouraged companies offering virtual casino-style games to Washington residents to review their games and ensure compliance with state gambling regulations. While the outcome of this matter is currently uncertain, the Company believes that IGT has no basis to terminate the licenses and that the Company’s distribution of the licensed games is not prohibited under Washington State law.</w:t>
      </w:r>
    </w:p>
    <w:p>
      <w:pPr>
        <w:pStyle w:val="TextBody"/>
        <w:bidi w:val="0"/>
        <w:spacing w:lineRule="auto" w:line="333"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SuprNation Performance Based Compensation</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Contemporaneously with entering into the definitive agreement, the Company also adopted an eighteen-month performance-based incentive plan for certain key employees of SuprNation, under which the key employees may earn up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 total of $6.5 million in addition to $5.5 million held in escrow, which vest over the eighteen-month period. The performance-based incentive plan is contingent upon the achievement of certain revenue and other performance targets by the acquired business and the continued employment of such key employees between 2023 and 2025. Such plan became effective at the closing of the transaction. In August 2024, $4.2 million of the incentive plan was modified to be contingent solely upon continued employment. During six months ended June 30, 2025 and 2024, the Company recognized total expenses of $2.5 million and $3.3 million, respectively, for the performance-based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14.    Related party transactions</w:t>
      </w:r>
    </w:p>
    <w:p>
      <w:pPr>
        <w:pStyle w:val="TextBody"/>
        <w:bidi w:val="0"/>
        <w:spacing w:lineRule="auto" w:line="319"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14.1.    Related party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Our related party transactions comprise of expenses for use of intellectual property, borrowings, and sublease. We may also incur other expenses with related parties in the ordinary course of business, which are included in the condensed consolidated interim financial statements. The related party is as follows:</w:t>
      </w:r>
    </w:p>
    <w:tbl>
      <w:tblPr>
        <w:tblW w:w="4244" w:type="dxa"/>
        <w:jc w:val="left"/>
        <w:tblInd w:w="0" w:type="dxa"/>
        <w:tblLayout w:type="fixed"/>
        <w:tblCellMar>
          <w:top w:w="28" w:type="dxa"/>
          <w:left w:w="28" w:type="dxa"/>
          <w:bottom w:w="28" w:type="dxa"/>
          <w:right w:w="28" w:type="dxa"/>
        </w:tblCellMar>
      </w:tblPr>
      <w:tblGrid>
        <w:gridCol w:w="749"/>
        <w:gridCol w:w="659"/>
        <w:gridCol w:w="661"/>
        <w:gridCol w:w="637"/>
        <w:gridCol w:w="637"/>
        <w:gridCol w:w="901"/>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Relationship</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Company name</w:t>
            </w:r>
          </w:p>
        </w:tc>
      </w:tr>
      <w:tr>
        <w:trPr/>
        <w:tc>
          <w:tcPr>
            <w:tcW w:w="2069" w:type="dxa"/>
            <w:gridSpan w:val="3"/>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Controlling shareholder</w:t>
            </w:r>
          </w:p>
        </w:tc>
        <w:tc>
          <w:tcPr>
            <w:tcW w:w="2175" w:type="dxa"/>
            <w:gridSpan w:val="3"/>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DoubleU Games Co., Ltd</w:t>
            </w:r>
          </w:p>
        </w:tc>
      </w:tr>
    </w:tbl>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14.2.    Transactions with related party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expenses charged by DoubleU Games (in thousands): </w:t>
      </w:r>
    </w:p>
    <w:tbl>
      <w:tblPr>
        <w:tblW w:w="6743" w:type="dxa"/>
        <w:jc w:val="left"/>
        <w:tblInd w:w="0" w:type="dxa"/>
        <w:tblLayout w:type="fixed"/>
        <w:tblCellMar>
          <w:top w:w="28" w:type="dxa"/>
          <w:left w:w="28" w:type="dxa"/>
          <w:bottom w:w="28" w:type="dxa"/>
          <w:right w:w="28" w:type="dxa"/>
        </w:tblCellMar>
      </w:tblPr>
      <w:tblGrid>
        <w:gridCol w:w="538"/>
        <w:gridCol w:w="471"/>
        <w:gridCol w:w="475"/>
        <w:gridCol w:w="631"/>
        <w:gridCol w:w="325"/>
        <w:gridCol w:w="325"/>
        <w:gridCol w:w="631"/>
        <w:gridCol w:w="325"/>
        <w:gridCol w:w="325"/>
        <w:gridCol w:w="109"/>
        <w:gridCol w:w="109"/>
        <w:gridCol w:w="109"/>
        <w:gridCol w:w="554"/>
        <w:gridCol w:w="286"/>
        <w:gridCol w:w="286"/>
        <w:gridCol w:w="554"/>
        <w:gridCol w:w="286"/>
        <w:gridCol w:w="40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8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expense</w:t>
            </w:r>
          </w:p>
        </w:tc>
        <w:tc>
          <w:tcPr>
            <w:tcW w:w="6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6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55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r>
    </w:tbl>
    <w:p>
      <w:pPr>
        <w:pStyle w:val="TextBody"/>
        <w:bidi w:val="0"/>
        <w:spacing w:lineRule="auto" w:line="319" w:before="200" w:after="283"/>
        <w:ind w:left="0" w:right="0" w:hanging="540"/>
        <w:jc w:val="both"/>
        <w:rPr>
          <w:rFonts w:ascii="Times New Roman;serif" w:hAnsi="Times New Roman;serif"/>
          <w:b/>
          <w:color w:val="000000"/>
          <w:sz w:val="20"/>
        </w:rPr>
      </w:pPr>
      <w:r>
        <w:rPr>
          <w:rFonts w:ascii="Times New Roman;serif" w:hAnsi="Times New Roman;serif"/>
          <w:b/>
          <w:color w:val="000000"/>
          <w:sz w:val="20"/>
        </w:rPr>
        <w:t>14.3    Account balances with related party</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Amounts due to DoubleU Games are as follows (in thousands):</w:t>
      </w:r>
    </w:p>
    <w:tbl>
      <w:tblPr>
        <w:tblW w:w="6418" w:type="dxa"/>
        <w:jc w:val="left"/>
        <w:tblInd w:w="0" w:type="dxa"/>
        <w:tblLayout w:type="fixed"/>
        <w:tblCellMar>
          <w:top w:w="28" w:type="dxa"/>
          <w:left w:w="28" w:type="dxa"/>
          <w:bottom w:w="28" w:type="dxa"/>
          <w:right w:w="28" w:type="dxa"/>
        </w:tblCellMar>
      </w:tblPr>
      <w:tblGrid>
        <w:gridCol w:w="1223"/>
        <w:gridCol w:w="1074"/>
        <w:gridCol w:w="1078"/>
        <w:gridCol w:w="287"/>
        <w:gridCol w:w="839"/>
        <w:gridCol w:w="148"/>
        <w:gridCol w:w="380"/>
        <w:gridCol w:w="1110"/>
        <w:gridCol w:w="279"/>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37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8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4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27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400" w:after="283"/>
        <w:ind w:left="0" w:right="0" w:hanging="540"/>
        <w:jc w:val="both"/>
        <w:rPr>
          <w:rFonts w:ascii="Times New Roman;serif" w:hAnsi="Times New Roman;serif"/>
          <w:b/>
          <w:color w:val="000000"/>
          <w:sz w:val="20"/>
        </w:rPr>
      </w:pPr>
      <w:r>
        <w:rPr>
          <w:rFonts w:ascii="Times New Roman;serif" w:hAnsi="Times New Roman;serif"/>
          <w:b/>
          <w:color w:val="000000"/>
          <w:sz w:val="20"/>
        </w:rPr>
        <w:t>14.4.    Borrowing transaction with related party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Borrowing transaction details to DoubleU Games are as follows (in thousands):</w:t>
      </w:r>
    </w:p>
    <w:tbl>
      <w:tblPr>
        <w:tblW w:w="7753" w:type="dxa"/>
        <w:jc w:val="left"/>
        <w:tblInd w:w="0" w:type="dxa"/>
        <w:tblLayout w:type="fixed"/>
        <w:tblCellMar>
          <w:top w:w="28" w:type="dxa"/>
          <w:left w:w="28" w:type="dxa"/>
          <w:bottom w:w="28" w:type="dxa"/>
          <w:right w:w="28" w:type="dxa"/>
        </w:tblCellMar>
      </w:tblPr>
      <w:tblGrid>
        <w:gridCol w:w="1707"/>
        <w:gridCol w:w="1497"/>
        <w:gridCol w:w="1505"/>
        <w:gridCol w:w="258"/>
        <w:gridCol w:w="883"/>
        <w:gridCol w:w="133"/>
        <w:gridCol w:w="344"/>
        <w:gridCol w:w="1175"/>
        <w:gridCol w:w="251"/>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709" w:type="dxa"/>
            <w:gridSpan w:val="3"/>
            <w:tcBorders/>
            <w:shd w:fill="DDEBF7"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 Senior notes with related party</w:t>
            </w:r>
          </w:p>
        </w:tc>
        <w:tc>
          <w:tcPr>
            <w:tcW w:w="258"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36,862 </w:t>
            </w:r>
          </w:p>
        </w:tc>
        <w:tc>
          <w:tcPr>
            <w:tcW w:w="133"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251"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on 4.6% Senior Notes with related party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83" w:type="dxa"/>
        <w:jc w:val="left"/>
        <w:tblInd w:w="0" w:type="dxa"/>
        <w:tblLayout w:type="fixed"/>
        <w:tblCellMar>
          <w:top w:w="28" w:type="dxa"/>
          <w:left w:w="28" w:type="dxa"/>
          <w:bottom w:w="28" w:type="dxa"/>
          <w:right w:w="28" w:type="dxa"/>
        </w:tblCellMar>
      </w:tblPr>
      <w:tblGrid>
        <w:gridCol w:w="516"/>
        <w:gridCol w:w="452"/>
        <w:gridCol w:w="456"/>
        <w:gridCol w:w="631"/>
        <w:gridCol w:w="325"/>
        <w:gridCol w:w="325"/>
        <w:gridCol w:w="631"/>
        <w:gridCol w:w="325"/>
        <w:gridCol w:w="325"/>
        <w:gridCol w:w="109"/>
        <w:gridCol w:w="109"/>
        <w:gridCol w:w="109"/>
        <w:gridCol w:w="554"/>
        <w:gridCol w:w="286"/>
        <w:gridCol w:w="286"/>
        <w:gridCol w:w="554"/>
        <w:gridCol w:w="286"/>
        <w:gridCol w:w="40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2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6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55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r>
    </w:tbl>
    <w:p>
      <w:pPr>
        <w:pStyle w:val="TextBody"/>
        <w:bidi w:val="0"/>
        <w:spacing w:lineRule="auto" w:line="333" w:before="400" w:after="283"/>
        <w:ind w:left="0" w:right="0" w:hanging="540"/>
        <w:jc w:val="left"/>
        <w:rPr>
          <w:rFonts w:ascii="Times New Roman;serif" w:hAnsi="Times New Roman;serif"/>
          <w:b/>
          <w:color w:val="000000"/>
          <w:sz w:val="20"/>
        </w:rPr>
      </w:pPr>
      <w:r>
        <w:rPr>
          <w:rFonts w:ascii="Times New Roman;serif" w:hAnsi="Times New Roman;serif"/>
          <w:b/>
          <w:color w:val="000000"/>
          <w:sz w:val="20"/>
        </w:rPr>
        <w:t>14.5.    Lease transactions with related party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Lease transaction details to DoubleU Games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before="0" w:after="240"/>
        <w:jc w:val="left"/>
        <w:rPr/>
      </w:pPr>
      <w:r>
        <w:rPr/>
      </w:r>
    </w:p>
    <w:tbl>
      <w:tblPr>
        <w:tblW w:w="4693" w:type="dxa"/>
        <w:jc w:val="left"/>
        <w:tblInd w:w="0" w:type="dxa"/>
        <w:tblLayout w:type="fixed"/>
        <w:tblCellMar>
          <w:top w:w="28" w:type="dxa"/>
          <w:left w:w="28" w:type="dxa"/>
          <w:bottom w:w="28" w:type="dxa"/>
          <w:right w:w="28" w:type="dxa"/>
        </w:tblCellMar>
      </w:tblPr>
      <w:tblGrid>
        <w:gridCol w:w="597"/>
        <w:gridCol w:w="525"/>
        <w:gridCol w:w="528"/>
        <w:gridCol w:w="287"/>
        <w:gridCol w:w="839"/>
        <w:gridCol w:w="148"/>
        <w:gridCol w:w="380"/>
        <w:gridCol w:w="1110"/>
        <w:gridCol w:w="279"/>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65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8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4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27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59" w:type="dxa"/>
        <w:jc w:val="left"/>
        <w:tblInd w:w="0" w:type="dxa"/>
        <w:tblLayout w:type="fixed"/>
        <w:tblCellMar>
          <w:top w:w="28" w:type="dxa"/>
          <w:left w:w="28" w:type="dxa"/>
          <w:bottom w:w="28" w:type="dxa"/>
          <w:right w:w="28" w:type="dxa"/>
        </w:tblCellMar>
      </w:tblPr>
      <w:tblGrid>
        <w:gridCol w:w="543"/>
        <w:gridCol w:w="478"/>
        <w:gridCol w:w="479"/>
        <w:gridCol w:w="631"/>
        <w:gridCol w:w="325"/>
        <w:gridCol w:w="325"/>
        <w:gridCol w:w="631"/>
        <w:gridCol w:w="325"/>
        <w:gridCol w:w="325"/>
        <w:gridCol w:w="109"/>
        <w:gridCol w:w="109"/>
        <w:gridCol w:w="109"/>
        <w:gridCol w:w="554"/>
        <w:gridCol w:w="286"/>
        <w:gridCol w:w="286"/>
        <w:gridCol w:w="554"/>
        <w:gridCol w:w="286"/>
        <w:gridCol w:w="404"/>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0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6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6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55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00" w:after="283"/>
        <w:ind w:left="0" w:right="0" w:hanging="396"/>
        <w:jc w:val="both"/>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319" w:before="200" w:after="283"/>
        <w:ind w:left="0" w:right="0" w:hanging="540"/>
        <w:jc w:val="both"/>
        <w:rPr>
          <w:rFonts w:ascii="Times New Roman;serif" w:hAnsi="Times New Roman;serif"/>
          <w:b/>
          <w:color w:val="000000"/>
          <w:sz w:val="20"/>
        </w:rPr>
      </w:pPr>
      <w:r>
        <w:rPr>
          <w:rFonts w:ascii="Times New Roman;serif" w:hAnsi="Times New Roman;serif"/>
          <w:b/>
          <w:color w:val="000000"/>
          <w:sz w:val="20"/>
        </w:rPr>
        <w:t>15.1.    Segment reporting</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discrete financial information is available for evaluation by the chief operating decision maker, our Chief Executive Officer, in making decisions regarding resource allocation and assessing performance. Total assets and liabilities for each segment are not reported to chief operating decision maker. We operate in the following business segments: social casino games and iGaming (in thousands):</w:t>
      </w:r>
    </w:p>
    <w:tbl>
      <w:tblPr>
        <w:tblW w:w="10205" w:type="dxa"/>
        <w:jc w:val="left"/>
        <w:tblInd w:w="0" w:type="dxa"/>
        <w:tblLayout w:type="fixed"/>
        <w:tblCellMar>
          <w:top w:w="28" w:type="dxa"/>
          <w:left w:w="28" w:type="dxa"/>
          <w:bottom w:w="28" w:type="dxa"/>
          <w:right w:w="28" w:type="dxa"/>
        </w:tblCellMar>
      </w:tblPr>
      <w:tblGrid>
        <w:gridCol w:w="1833"/>
        <w:gridCol w:w="1582"/>
        <w:gridCol w:w="1588"/>
        <w:gridCol w:w="254"/>
        <w:gridCol w:w="868"/>
        <w:gridCol w:w="131"/>
        <w:gridCol w:w="254"/>
        <w:gridCol w:w="868"/>
        <w:gridCol w:w="131"/>
        <w:gridCol w:w="109"/>
        <w:gridCol w:w="109"/>
        <w:gridCol w:w="109"/>
        <w:gridCol w:w="213"/>
        <w:gridCol w:w="836"/>
        <w:gridCol w:w="109"/>
        <w:gridCol w:w="213"/>
        <w:gridCol w:w="836"/>
        <w:gridCol w:w="162"/>
      </w:tblGrid>
      <w:tr>
        <w:trPr/>
        <w:tc>
          <w:tcPr>
            <w:tcW w:w="183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53"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DEB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28,685 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16,223 </w:t>
            </w:r>
          </w:p>
        </w:tc>
        <w:tc>
          <w:tcPr>
            <w:tcW w:w="162"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expenses:</w:t>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10,740 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5,365 </w:t>
            </w:r>
          </w:p>
        </w:tc>
        <w:tc>
          <w:tcPr>
            <w:tcW w:w="162"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advertising expenses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(including right-of-use assets): </w:t>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62"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(including right-of-use assets)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Profit before income tax:</w:t>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DEBF7"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31"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109"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162" w:type="dxa"/>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profit before income tax</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before="0" w:after="240"/>
        <w:jc w:val="left"/>
        <w:rPr/>
      </w:pPr>
      <w:r>
        <w:rPr/>
      </w:r>
    </w:p>
    <w:p>
      <w:pPr>
        <w:pStyle w:val="TextBody"/>
        <w:bidi w:val="0"/>
        <w:spacing w:lineRule="auto" w:line="319" w:before="200" w:after="283"/>
        <w:ind w:left="0" w:right="0" w:hanging="540"/>
        <w:jc w:val="both"/>
        <w:rPr>
          <w:rFonts w:ascii="Times New Roman;serif" w:hAnsi="Times New Roman;serif"/>
          <w:b/>
          <w:color w:val="000000"/>
          <w:sz w:val="20"/>
        </w:rPr>
      </w:pPr>
      <w:r>
        <w:rPr>
          <w:rFonts w:ascii="Times New Roman;serif" w:hAnsi="Times New Roman;serif"/>
          <w:b/>
          <w:color w:val="000000"/>
          <w:sz w:val="20"/>
        </w:rPr>
        <w:t>15.2.    Disaggregation of revenue and non-current assets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business operations are located in domestic and international regions, including the United States. We believe disaggregation of our revenue based on platform and geographical location are appropriate categories that depict how the nature, amount, timing, and uncertainty of revenue and cash flows are affected by economic factors.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based on the geographical location of our players (in thousands):</w:t>
      </w:r>
    </w:p>
    <w:tbl>
      <w:tblPr>
        <w:tblW w:w="7307" w:type="dxa"/>
        <w:jc w:val="left"/>
        <w:tblInd w:w="0" w:type="dxa"/>
        <w:tblLayout w:type="fixed"/>
        <w:tblCellMar>
          <w:top w:w="28" w:type="dxa"/>
          <w:left w:w="28" w:type="dxa"/>
          <w:bottom w:w="28" w:type="dxa"/>
          <w:right w:w="28" w:type="dxa"/>
        </w:tblCellMar>
      </w:tblPr>
      <w:tblGrid>
        <w:gridCol w:w="596"/>
        <w:gridCol w:w="521"/>
        <w:gridCol w:w="534"/>
        <w:gridCol w:w="631"/>
        <w:gridCol w:w="338"/>
        <w:gridCol w:w="338"/>
        <w:gridCol w:w="631"/>
        <w:gridCol w:w="338"/>
        <w:gridCol w:w="338"/>
        <w:gridCol w:w="109"/>
        <w:gridCol w:w="109"/>
        <w:gridCol w:w="109"/>
        <w:gridCol w:w="554"/>
        <w:gridCol w:w="390"/>
        <w:gridCol w:w="391"/>
        <w:gridCol w:w="554"/>
        <w:gridCol w:w="342"/>
        <w:gridCol w:w="484"/>
      </w:tblGrid>
      <w:tr>
        <w:trPr/>
        <w:tc>
          <w:tcPr>
            <w:tcW w:w="59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5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6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60,498</w:t>
            </w:r>
          </w:p>
        </w:tc>
        <w:tc>
          <w:tcPr>
            <w:tcW w:w="631"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69,943</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121,512</w:t>
            </w:r>
          </w:p>
        </w:tc>
        <w:tc>
          <w:tcPr>
            <w:tcW w:w="554"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140,129</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4,697</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9,247</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9,820</w:t>
            </w:r>
          </w:p>
        </w:tc>
      </w:tr>
      <w:tr>
        <w:trPr/>
        <w:tc>
          <w:tcPr>
            <w:tcW w:w="165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307"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14,126</w:t>
            </w:r>
          </w:p>
        </w:tc>
        <w:tc>
          <w:tcPr>
            <w:tcW w:w="1307"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w:t>
            </w:r>
          </w:p>
        </w:tc>
        <w:tc>
          <w:tcPr>
            <w:tcW w:w="13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13,154</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651"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International-other</w:t>
            </w:r>
          </w:p>
        </w:tc>
        <w:tc>
          <w:tcPr>
            <w:tcW w:w="1307"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5,492</w:t>
            </w:r>
          </w:p>
        </w:tc>
        <w:tc>
          <w:tcPr>
            <w:tcW w:w="1307"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w:t>
            </w:r>
          </w:p>
        </w:tc>
        <w:tc>
          <w:tcPr>
            <w:tcW w:w="327" w:type="dxa"/>
            <w:gridSpan w:val="3"/>
            <w:tcBorders/>
            <w:shd w:fill="DD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11,207</w:t>
            </w:r>
          </w:p>
        </w:tc>
        <w:tc>
          <w:tcPr>
            <w:tcW w:w="1380"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13,276</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84,813</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168,305</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176,379</w:t>
            </w:r>
          </w:p>
        </w:tc>
      </w:tr>
    </w:tbl>
    <w:p>
      <w:pPr>
        <w:pStyle w:val="TextBody"/>
        <w:bidi w:val="0"/>
        <w:spacing w:before="200" w:after="283"/>
        <w:jc w:val="left"/>
        <w:rPr/>
      </w:pPr>
      <w:r>
        <w:rPr/>
      </w:r>
    </w:p>
    <w:p>
      <w:pPr>
        <w:pStyle w:val="TextBody"/>
        <w:bidi w:val="0"/>
        <w:spacing w:before="240" w:after="283"/>
        <w:ind w:left="0" w:right="0" w:firstLine="49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non-current assets by geographical regions (in thousands):</w:t>
      </w:r>
    </w:p>
    <w:tbl>
      <w:tblPr>
        <w:tblW w:w="3808" w:type="dxa"/>
        <w:jc w:val="left"/>
        <w:tblInd w:w="0" w:type="dxa"/>
        <w:tblLayout w:type="fixed"/>
        <w:tblCellMar>
          <w:top w:w="28" w:type="dxa"/>
          <w:left w:w="28" w:type="dxa"/>
          <w:bottom w:w="28" w:type="dxa"/>
          <w:right w:w="28" w:type="dxa"/>
        </w:tblCellMar>
      </w:tblPr>
      <w:tblGrid>
        <w:gridCol w:w="275"/>
        <w:gridCol w:w="243"/>
        <w:gridCol w:w="247"/>
        <w:gridCol w:w="287"/>
        <w:gridCol w:w="839"/>
        <w:gridCol w:w="148"/>
        <w:gridCol w:w="380"/>
        <w:gridCol w:w="1110"/>
        <w:gridCol w:w="279"/>
      </w:tblGrid>
      <w:tr>
        <w:trPr/>
        <w:tc>
          <w:tcPr>
            <w:tcW w:w="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6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287"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48"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DDEBF7"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279" w:type="dxa"/>
            <w:tcBorders>
              <w:top w:val="single" w:sz="8" w:space="0" w:color="000000"/>
            </w:tcBorders>
            <w:shd w:fill="DDEB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416,835 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274"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31,552</w:t>
            </w:r>
          </w:p>
        </w:tc>
        <w:tc>
          <w:tcPr>
            <w:tcW w:w="1769" w:type="dxa"/>
            <w:gridSpan w:val="3"/>
            <w:tcBorders/>
            <w:shd w:fill="DDEBF7"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29,818</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450,433</w:t>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449,132</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 The amounts related to financial assets at fair value through profit or loss and deferred tax assets are excluded.</w:t>
      </w:r>
    </w:p>
    <w:p>
      <w:pPr>
        <w:pStyle w:val="TextBody"/>
        <w:bidi w:val="0"/>
        <w:spacing w:lineRule="auto" w:line="319" w:before="200" w:after="283"/>
        <w:ind w:left="0" w:right="0" w:hanging="540"/>
        <w:jc w:val="both"/>
        <w:rPr>
          <w:rFonts w:ascii="Times New Roman;serif" w:hAnsi="Times New Roman;serif"/>
          <w:b/>
          <w:color w:val="000000"/>
          <w:sz w:val="20"/>
        </w:rPr>
      </w:pPr>
      <w:r>
        <w:rPr>
          <w:rFonts w:ascii="Times New Roman;serif" w:hAnsi="Times New Roman;serif"/>
          <w:b/>
          <w:color w:val="000000"/>
          <w:sz w:val="20"/>
        </w:rPr>
        <w:t>15.3.    Major external customers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 individual external customer accounted for more than 10% of consolidated revenue for each of the six months ended June 30, 2025 and 2024.</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333" w:before="200" w:after="283"/>
        <w:jc w:val="left"/>
        <w:rPr>
          <w:rFonts w:ascii="Times New Roman;serif" w:hAnsi="Times New Roman;serif"/>
          <w:b/>
          <w:i/>
          <w:color w:val="000000"/>
          <w:sz w:val="20"/>
        </w:rPr>
      </w:pPr>
      <w:r>
        <w:rPr>
          <w:rFonts w:ascii="Times New Roman;serif" w:hAnsi="Times New Roman;serif"/>
          <w:b/>
          <w:i/>
          <w:color w:val="000000"/>
          <w:sz w:val="20"/>
        </w:rPr>
        <w:t>Acquisition WHOW Games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14, 2025 (July 15, 2025 Korea Standard Time), the Company completed its acquisition of WHOW Games GmbH, a social casino developer headquartered in Hamburg, Germany, which is now a direct, wholly-owned subsidiary of DDI-US, for a total cash purchase price of $64.3 million (or approximately €55.0 million based on the then exchange rate). Contemporaneously with entering into the definitive agreement, the Company also adopted a twenty-four-month performance-based incentive plan for an additional earn-out payment of up to €10.0 million, payable to the seller, Azerion, at €5.0 million annually, which is contingent upon WHOW Games meeting certain performance targets during each of the first and second year following the closing date.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leverage WHOW Games’ proven expertise in the Europe market and partner-driven business model alongside its own operational strength, marketing capabilities, and extensive gaming content to pursue growth opportunities in Europe, particularly in Germany.</w:t>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8698</Words>
  <Characters>48210</Characters>
  <CharactersWithSpaces>55438</CharactersWithSpaces>
  <Paragraphs>2484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