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DoubleDown Interactive Co., Ltd.</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Joseph A. Sigrist, Chief Financial Officer</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DoubleDown Interactive, LLC</w:t>
      </w:r>
    </w:p>
    <w:p>
      <w:pPr>
        <w:spacing w:after="0" w:line="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605 5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Avenue, Suite 300</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Seattle, WA 98104</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+1-206-408-4545</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976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40-F</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00"/>
          </w:cols>
          <w:pgMar w:left="440" w:top="368" w:right="6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Press Release; Financial Statements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November 10, 2021, DoubleDown Interactive Co., Ltd. (the “Company”) issued a press release (the “Press Release”) announcing the Company’s financial results for the third quarter ended September 30, 2021. The Company also issued its unaudited condensed financial statements for the three and nine months ended September 30, 2021 (the “Financial Statements”) in Seoul, Republic of Korea.</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Press Release and the Financial Statements are being furnished in this report on Form 6-K as Exhibits 99.1 and 99.2 respectively pursuant to General Instruction B to the Form 6- K, and shall not be deemed to be “filed” for the purposes of Section 18 of the Securities Exchange Act of 1934, as amended, or otherwise subject to the liabilities of that section.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80" w:type="dxa"/>
            <w:vAlign w:val="bottom"/>
            <w:gridSpan w:val="3"/>
          </w:tcPr>
          <w:p>
            <w:pPr>
              <w:ind w:left="346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20" w:type="dxa"/>
            <w:vAlign w:val="bottom"/>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2"/>
                <w:szCs w:val="22"/>
                <w:color w:val="auto"/>
              </w:rPr>
            </w:pPr>
          </w:p>
        </w:tc>
        <w:tc>
          <w:tcPr>
            <w:tcW w:w="96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of the Company, dated November 10, 2021</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620" w:type="dxa"/>
            <w:vAlign w:val="bottom"/>
          </w:tcPr>
          <w:p>
            <w:pPr>
              <w:spacing w:after="0"/>
              <w:rPr>
                <w:sz w:val="24"/>
                <w:szCs w:val="24"/>
                <w:color w:val="auto"/>
              </w:rPr>
            </w:pPr>
          </w:p>
        </w:tc>
        <w:tc>
          <w:tcPr>
            <w:tcW w:w="89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Condensed consolidated financial statements (unaudited) for the three and nine months ended September 30, 2021 and 2020</w:t>
              </w:r>
            </w:hyperlink>
          </w:p>
        </w:tc>
        <w:tc>
          <w:tcPr>
            <w:tcW w:w="7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6"/>
          <w:szCs w:val="16"/>
          <w:color w:val="auto"/>
        </w:rPr>
        <w:t>DoubleDown Interactive Co., Ltd.</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A. Sigrist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Joseph A. Sigrist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80"/>
          </w:cols>
          <w:pgMar w:left="440" w:top="27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91615" cy="908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DoubleDown Interactive Reports Third Quarter 2021 Results</w:t>
      </w:r>
    </w:p>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SEATTLE, WASHINGTON – November 10, 2021 — DoubleDown Interactive (NASDAQ: DDI) (“</w:t>
      </w:r>
      <w:r>
        <w:rPr>
          <w:rFonts w:ascii="Arial" w:cs="Arial" w:eastAsia="Arial" w:hAnsi="Arial"/>
          <w:sz w:val="17"/>
          <w:szCs w:val="17"/>
          <w:u w:val="single" w:color="auto"/>
          <w:color w:val="auto"/>
        </w:rPr>
        <w:t>DoubleDown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a leading developer and publisher of digital social casino games, today reported its financial results for the third quarter ended September 30,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Highlights vs. Third Quarter 2020</w:t>
      </w:r>
    </w:p>
    <w:p>
      <w:pPr>
        <w:spacing w:after="0" w:line="135"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decreased 6% to $87.0 million.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Adjusted EBITDA increased 4% to $30.2 million. Adjusted EBITDA margin of 34.7% improved by approximately 330 basis points.</w:t>
      </w:r>
    </w:p>
    <w:p>
      <w:pPr>
        <w:spacing w:after="0" w:line="142" w:lineRule="exact"/>
        <w:rPr>
          <w:rFonts w:ascii="Arial" w:cs="Arial" w:eastAsia="Arial" w:hAnsi="Arial"/>
          <w:sz w:val="17"/>
          <w:szCs w:val="17"/>
          <w:color w:val="auto"/>
        </w:rPr>
      </w:pPr>
    </w:p>
    <w:p>
      <w:pPr>
        <w:ind w:left="960" w:right="160" w:hanging="532"/>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increased to $22.8 million, or $9.91 per common share on a fully diluted basis ($0.50 on an ADS basis), compared to net income of $8.3 million, or $3.75 per common share on a fully diluted basis ($0.19 on an ADS basis). Note each ADS represents 0.05 of a common share.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Average Revenue Per Daily Active User (“</w:t>
      </w:r>
      <w:r>
        <w:rPr>
          <w:rFonts w:ascii="Arial" w:cs="Arial" w:eastAsia="Arial" w:hAnsi="Arial"/>
          <w:sz w:val="18"/>
          <w:szCs w:val="18"/>
          <w:u w:val="single" w:color="auto"/>
          <w:color w:val="auto"/>
        </w:rPr>
        <w:t>ARPDAU</w:t>
      </w:r>
      <w:r>
        <w:rPr>
          <w:rFonts w:ascii="Arial" w:cs="Arial" w:eastAsia="Arial" w:hAnsi="Arial"/>
          <w:sz w:val="18"/>
          <w:szCs w:val="18"/>
          <w:color w:val="auto"/>
        </w:rPr>
        <w:t>”) increased 12% to $0.96.</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Average monthly revenue per payer increased 14% to $224.</w:t>
      </w:r>
    </w:p>
    <w:p>
      <w:pPr>
        <w:spacing w:after="0" w:line="130"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Payer conversion of 5.7%, compared to 5.4%. Payer conversion represents the percentage of monthly active users that made at least one purchase in a month during the respective quarters.</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are pleased with the results from our first quarter as a public company, including year-over-year Adjusted EBITDA growth, another record for average monthly revenue per payer, and the recent release of our first non-social casino gaming app, ‘Undead World: Hero Survival’,” said In Keuk Kim, Chief Executive Officer of DoubleDown. “We generated $33.7 million in net cash flows provided by operations and ended the quarter with a cash and cash equivalents balance of $223.1 million, providing us with a strong financial position. Looking ahead, we will continue to focus on growing our paying customer base with an emphasis on optimizing our monetization metrics.”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September 2, 2021, DoubleDown closed its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of 6,316,000 American Depositary Shares (“</w:t>
      </w:r>
      <w:r>
        <w:rPr>
          <w:rFonts w:ascii="Arial" w:cs="Arial" w:eastAsia="Arial" w:hAnsi="Arial"/>
          <w:sz w:val="18"/>
          <w:szCs w:val="18"/>
          <w:u w:val="single" w:color="auto"/>
          <w:color w:val="auto"/>
        </w:rPr>
        <w:t>ADS</w:t>
      </w:r>
      <w:r>
        <w:rPr>
          <w:rFonts w:ascii="Arial" w:cs="Arial" w:eastAsia="Arial" w:hAnsi="Arial"/>
          <w:sz w:val="18"/>
          <w:szCs w:val="18"/>
          <w:color w:val="auto"/>
        </w:rPr>
        <w:t>”), each representing 0.05 of a common share, at a price of $18.00 per ADS. DoubleDown sold 5,263,000 ADSs and STIC Special Situation Diamond Limited sold 1,053,000 ADSs in the IPO. DoubleDown received net proceeds of $86.5 million after deducting underwriting discounts and commissions and the offering expenses from the IPO.</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Operating Results for DoubleDown Interactive</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Three Months Ended September 30,</w:t>
            </w:r>
          </w:p>
        </w:tc>
      </w:tr>
      <w:tr>
        <w:trPr>
          <w:trHeight w:val="142"/>
        </w:trPr>
        <w:tc>
          <w:tcPr>
            <w:tcW w:w="55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 ($ MM)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Total operating expenses ($ MM)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59.2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71.3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 MM)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income ($ MM)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22.8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margin</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60" w:type="dxa"/>
            <w:vAlign w:val="bottom"/>
          </w:tcPr>
          <w:p>
            <w:pPr>
              <w:spacing w:after="0"/>
              <w:rPr>
                <w:sz w:val="20"/>
                <w:szCs w:val="20"/>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r>
      <w:tr>
        <w:trPr>
          <w:trHeight w:val="94"/>
        </w:trPr>
        <w:tc>
          <w:tcPr>
            <w:tcW w:w="5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Non-financial performance metrics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Average MAUs (000s)</w:t>
            </w:r>
          </w:p>
        </w:tc>
        <w:tc>
          <w:tcPr>
            <w:tcW w:w="160" w:type="dxa"/>
            <w:vAlign w:val="bottom"/>
          </w:tcPr>
          <w:p>
            <w:pPr>
              <w:spacing w:after="0"/>
              <w:rPr>
                <w:sz w:val="18"/>
                <w:szCs w:val="18"/>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2,255</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2,894</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Average DAUs (000s)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986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ARPDAU</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0.96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0.86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Average monthly revenue per payer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Payer conversion</w:t>
            </w:r>
          </w:p>
        </w:tc>
        <w:tc>
          <w:tcPr>
            <w:tcW w:w="160" w:type="dxa"/>
            <w:vAlign w:val="bottom"/>
          </w:tcPr>
          <w:p>
            <w:pPr>
              <w:spacing w:after="0"/>
              <w:rPr>
                <w:sz w:val="20"/>
                <w:szCs w:val="20"/>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Revenue in the third quarter was $87.0 million, down 5.6% from the same year-ago quarter mainly due to the easing of stay-at-home initiatives compared to the height of COVID-19 prevention measures in the prior year.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in the third quarter were $59.2 million, down 16.9% from the same year-ago quarter. The decrease was primarily due to decreases in sales &amp; marketing costs and depreciation &amp; amortization expenses from the same quarter in 2020.</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income in the third quarter increased to $22.8 million, or $9.91 per common share on a fully diluted basis ($0.50 on an ADS basis), compared to net income of $8.3 million, or $3.75 per common share on a fully diluted basis ($0.19 on an ADS basis), in the same year-ago quarter. Note each ADS represents 0.05 of a common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in the third quarter increased to $30.2 million compared to $28.9 million in the same year-ago quarter.</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cash flows provided by operating activities for the three months ended September 30, 2021 was $33.7 million compared to $22.7 million in the same year-ago quarter.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DoubleDown will hold a conference call today (November 10, 2021) at 5:00 p.m. Eastern Time (2:00 p.m. Pacific Time) to discuss these results. A question-and-answer session will follow management’s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To participate, please dial the number below at least five minutes prior to the start time and ask for the DoubleDown Interactive conference call.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U.S. dial-in number: 1-888-705-0418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number: 1-929-517-9007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2667354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conference call will broadcast live and be available for replay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or at the below dial 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1-855-859-2056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2667354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be available after 8:00 p.m. Eastern Time through December 10, 2021 at 8:00 p.m. Eastern Time.</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DoubleDown Interactive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Our flagship title, DoubleDown Casino, has been a fan-favorite game on leading social and mobile platforms for years, entertaining millions of players worldwide with a lineup of classic and modern games.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press release are “forward-looking statements” about future events and expectations for purposes of the safe harbor provisions under the United States Private Securities Litigation Reform Act of 1995. Forward-looking statements are based on our beliefs, assumptions, and expectations of industry trends, our future financial and operating performance, and our growth plans, taking into account the information currently available to us. These statements are not statements of historical fact.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Therefore, you should not place undue reliance on such statements. Words such as “anticipates,” believes,” “continues,” “estimates,” “expects,” “goal,” “objectives,” “intends,” “may,” “opportunity,” “plans,” potential,” “near-term,” long-term,” “projections,” “assumptions,” “projects,” “guidance,” “forecasts,” “outlook,” “target,” “trends,” “should,” “could,” “would,” “will,” and similar expressions are intended to identify such forward-looking statements. We qualify any forward-looking statements entirely by these cautionary factors. We assume no obligation to update or revise any forward-looking statements for any reason or to update the reasons actual results could differ materially from those anticipated in these forward-looking statements, even if new information becomes available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Use and Reconciliation of Non-GAAP Financial Measures</w:t>
      </w:r>
    </w:p>
    <w:p>
      <w:pPr>
        <w:spacing w:after="0" w:line="11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addition to our results determined in accordance with the accounting principles generally accepted in the United States of America (“</w:t>
      </w:r>
      <w:r>
        <w:rPr>
          <w:rFonts w:ascii="Arial" w:cs="Arial" w:eastAsia="Arial" w:hAnsi="Arial"/>
          <w:sz w:val="17"/>
          <w:szCs w:val="17"/>
          <w:u w:val="single" w:color="auto"/>
          <w:color w:val="auto"/>
        </w:rPr>
        <w:t>GAAP</w:t>
      </w:r>
      <w:r>
        <w:rPr>
          <w:rFonts w:ascii="Arial" w:cs="Arial" w:eastAsia="Arial" w:hAnsi="Arial"/>
          <w:sz w:val="17"/>
          <w:szCs w:val="17"/>
          <w:color w:val="auto"/>
        </w:rPr>
        <w:t>”), we believe the following non-GAAP financial measure is useful in evaluating our operating performance. We present “</w:t>
      </w:r>
      <w:r>
        <w:rPr>
          <w:rFonts w:ascii="Arial" w:cs="Arial" w:eastAsia="Arial" w:hAnsi="Arial"/>
          <w:sz w:val="17"/>
          <w:szCs w:val="17"/>
          <w:i w:val="1"/>
          <w:iCs w:val="1"/>
          <w:color w:val="auto"/>
        </w:rPr>
        <w:t>adjusted earnings before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taxes, depreciation and amortization</w:t>
      </w:r>
      <w:r>
        <w:rPr>
          <w:rFonts w:ascii="Arial" w:cs="Arial" w:eastAsia="Arial" w:hAnsi="Arial"/>
          <w:sz w:val="17"/>
          <w:szCs w:val="17"/>
          <w:color w:val="auto"/>
        </w:rPr>
        <w:t>” (“</w:t>
      </w:r>
      <w:r>
        <w:rPr>
          <w:rFonts w:ascii="Arial" w:cs="Arial" w:eastAsia="Arial" w:hAnsi="Arial"/>
          <w:sz w:val="17"/>
          <w:szCs w:val="17"/>
          <w:u w:val="single" w:color="auto"/>
          <w:color w:val="auto"/>
        </w:rPr>
        <w:t>Adjusted EBITDA</w:t>
      </w:r>
      <w:r>
        <w:rPr>
          <w:rFonts w:ascii="Arial" w:cs="Arial" w:eastAsia="Arial" w:hAnsi="Arial"/>
          <w:sz w:val="17"/>
          <w:szCs w:val="17"/>
          <w:color w:val="auto"/>
        </w:rPr>
        <w:t>”) because we believe it assists investors and analysts by facilitating comparison of</w:t>
      </w:r>
      <w:r>
        <w:rPr>
          <w:rFonts w:ascii="Arial" w:cs="Arial" w:eastAsia="Arial" w:hAnsi="Arial"/>
          <w:sz w:val="17"/>
          <w:szCs w:val="17"/>
          <w:i w:val="1"/>
          <w:iCs w:val="1"/>
          <w:color w:val="auto"/>
        </w:rPr>
        <w:t xml:space="preserve"> </w:t>
      </w:r>
      <w:r>
        <w:rPr>
          <w:rFonts w:ascii="Arial" w:cs="Arial" w:eastAsia="Arial" w:hAnsi="Arial"/>
          <w:sz w:val="17"/>
          <w:szCs w:val="17"/>
          <w:color w:val="auto"/>
        </w:rPr>
        <w:t>period-to-period operational performance on a consistent basis by excluding items that we do not believe are indicative of our core operating performance. The items excluded from the Adjusted EBITDA may have a material impact on our financial results. Certain of those items are non-recurring, while others are non-cash in nature. Accordingly, the Adjusted EBITDA is presented as supplemental disclosure and should not be considered in isolation of, as a substitute for, or superior to, the financial information prepared in accordance with GAAP, and should be read in conjunction with the financial statements furnished in our Form 6-K to be filed with the SEC.</w:t>
      </w:r>
    </w:p>
    <w:p>
      <w:pPr>
        <w:sectPr>
          <w:pgSz w:w="11900" w:h="16838" w:orient="portrait"/>
          <w:cols w:equalWidth="0" w:num="1">
            <w:col w:w="10920"/>
          </w:cols>
          <w:pgMar w:left="440" w:top="270" w:right="539" w:bottom="1440" w:gutter="0" w:footer="0" w:header="0"/>
        </w:sectPr>
      </w:pPr>
    </w:p>
    <w:bookmarkStart w:id="6" w:name="page7"/>
    <w:bookmarkEnd w:id="6"/>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our reconciliation from our reported GAAP “net income before provision for taxes” to our Adjusted EBITDA, we eliminate the impact of the following fourline items: (i) remeasurement gains; (ii) acquisition expenses; (iii) amortization expenses related to intangible assets acquired; and (iv) depreciation expense. The below table sets forth the full reconciliation of our non-GAAP measures:</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non-GAAP measures</w:t>
            </w:r>
          </w:p>
        </w:tc>
        <w:tc>
          <w:tcPr>
            <w:tcW w:w="19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6540" w:type="dxa"/>
            <w:vAlign w:val="bottom"/>
            <w:vMerge w:val="continue"/>
          </w:tcPr>
          <w:p>
            <w:pPr>
              <w:spacing w:after="0"/>
              <w:rPr>
                <w:sz w:val="14"/>
                <w:szCs w:val="14"/>
                <w:color w:val="auto"/>
              </w:rPr>
            </w:pPr>
          </w:p>
        </w:tc>
        <w:tc>
          <w:tcPr>
            <w:tcW w:w="19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(in millions, except percentages)</w:t>
            </w: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Income tax expense</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5.8</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Adjustments for:</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Loss contingency</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0.7</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Foreign currency transaction/remeasurement (gain) loss</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Adjusted EBITDA</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$ 30.2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28.9</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$ 94.3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encourage investors and others to review our financial information in its entirety and not to rely on any single financial measure.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Joe Sigrist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ir@doubledown.com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(206) 773-2266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https://www.doubledowninteractive.com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Cody Slach or Jeff Grampp,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Gateway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1-949-574-3860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DDI@gatewayir.com</w:t>
      </w:r>
    </w:p>
    <w:p>
      <w:pPr>
        <w:sectPr>
          <w:pgSz w:w="11900" w:h="16838" w:orient="portrait"/>
          <w:cols w:equalWidth="0" w:num="1">
            <w:col w:w="10560"/>
          </w:cols>
          <w:pgMar w:left="440" w:top="274" w:right="8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DoubleDown Interactive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spacing w:after="0"/>
              <w:rPr>
                <w:sz w:val="20"/>
                <w:szCs w:val="20"/>
                <w:color w:val="auto"/>
              </w:rPr>
            </w:pPr>
            <w:r>
              <w:rPr>
                <w:rFonts w:ascii="Arial" w:cs="Arial" w:eastAsia="Arial" w:hAnsi="Arial"/>
                <w:sz w:val="14"/>
                <w:szCs w:val="14"/>
                <w:color w:val="auto"/>
              </w:rPr>
              <w:t>September 30, 2021</w:t>
            </w:r>
          </w:p>
        </w:tc>
        <w:tc>
          <w:tcPr>
            <w:tcW w:w="1200" w:type="dxa"/>
            <w:vAlign w:val="bottom"/>
            <w:gridSpan w:val="3"/>
          </w:tcPr>
          <w:p>
            <w:pPr>
              <w:spacing w:after="0"/>
              <w:rPr>
                <w:sz w:val="20"/>
                <w:szCs w:val="20"/>
                <w:color w:val="auto"/>
              </w:rPr>
            </w:pPr>
            <w:r>
              <w:rPr>
                <w:rFonts w:ascii="Arial" w:cs="Arial" w:eastAsia="Arial" w:hAnsi="Arial"/>
                <w:sz w:val="14"/>
                <w:szCs w:val="14"/>
                <w:color w:val="auto"/>
                <w:w w:val="95"/>
              </w:rPr>
              <w:t>December 31, 2020</w:t>
            </w:r>
          </w:p>
        </w:tc>
      </w:tr>
      <w:tr>
        <w:trPr>
          <w:trHeight w:val="196"/>
        </w:trPr>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223,062</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63,188</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20,247</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23,299</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11,013</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4,020</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254,322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90,507</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7,644</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9,987</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55,801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71,364</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633,965</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633,965</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2,724</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954,870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806,831</w:t>
            </w:r>
          </w:p>
        </w:tc>
      </w:tr>
      <w:tr>
        <w:trPr>
          <w:trHeight w:val="223"/>
        </w:trPr>
        <w:tc>
          <w:tcPr>
            <w:tcW w:w="80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14,090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16,646</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Short-term operating lease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3,036</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2,838</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1,546</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2,415</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2702</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25,649</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borrowings with related party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42,198</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45,956</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5,410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7,831</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25,993</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20,154</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107,942</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107,320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21,198</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18,924</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672,242</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588,064</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23,109</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22,815</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130,379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69,708</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846,928</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699,511</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954,870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806,831</w:t>
            </w:r>
          </w:p>
        </w:tc>
        <w:tc>
          <w:tcPr>
            <w:tcW w:w="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DoubleDown Interactive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640"/>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color w:val="auto"/>
              </w:rPr>
              <w:t>Nine Months Ended</w:t>
            </w:r>
          </w:p>
        </w:tc>
      </w:tr>
      <w:tr>
        <w:trPr>
          <w:trHeight w:val="167"/>
        </w:trPr>
        <w:tc>
          <w:tcPr>
            <w:tcW w:w="5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820"/>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720"/>
              <w:spacing w:after="0"/>
              <w:rPr>
                <w:sz w:val="20"/>
                <w:szCs w:val="20"/>
                <w:color w:val="auto"/>
              </w:rPr>
            </w:pPr>
            <w:r>
              <w:rPr>
                <w:rFonts w:ascii="Arial" w:cs="Arial" w:eastAsia="Arial" w:hAnsi="Arial"/>
                <w:sz w:val="14"/>
                <w:szCs w:val="14"/>
                <w:color w:val="auto"/>
              </w:rPr>
              <w:t>September 30,</w:t>
            </w:r>
          </w:p>
        </w:tc>
      </w:tr>
      <w:tr>
        <w:trPr>
          <w:trHeight w:val="142"/>
        </w:trPr>
        <w:tc>
          <w:tcPr>
            <w:tcW w:w="59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2020</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267,305</w:t>
            </w: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96,823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94,345</w:t>
            </w: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17,161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20,905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56,913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53,688</w:t>
            </w: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13,847</w:t>
            </w: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5,103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17,684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14,983</w:t>
            </w: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23,938</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200,801</w:t>
            </w:r>
          </w:p>
        </w:tc>
        <w:tc>
          <w:tcPr>
            <w:tcW w:w="120" w:type="dxa"/>
            <w:vAlign w:val="bottom"/>
          </w:tcPr>
          <w:p>
            <w:pPr>
              <w:spacing w:after="0"/>
              <w:rPr>
                <w:sz w:val="20"/>
                <w:szCs w:val="20"/>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75,143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66,504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(10,142)</w:t>
            </w: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foreign currency transactions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w:t>
            </w: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w w:val="99"/>
              </w:rPr>
              <w:t>Gain (loss) on foreign currency remeasurement of intercompany items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(5,262)</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120" w:type="dxa"/>
            <w:vAlign w:val="bottom"/>
          </w:tcPr>
          <w:p>
            <w:pPr>
              <w:spacing w:after="0"/>
              <w:rPr>
                <w:sz w:val="20"/>
                <w:szCs w:val="20"/>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54,689</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(7,185)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(16,713)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(16,539)</w:t>
            </w:r>
          </w:p>
        </w:tc>
      </w:tr>
      <w:tr>
        <w:trPr>
          <w:trHeight w:val="27"/>
        </w:trPr>
        <w:tc>
          <w:tcPr>
            <w:tcW w:w="5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38,150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Pension adjustments, net of tax</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Gain on foreign currency translation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7,057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15,869</w:t>
            </w:r>
          </w:p>
        </w:tc>
      </w:tr>
      <w:tr>
        <w:trPr>
          <w:trHeight w:val="27"/>
        </w:trPr>
        <w:tc>
          <w:tcPr>
            <w:tcW w:w="5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53,808</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Earnings per share:</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Diluted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17.30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2,303,192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2,214,522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2,244,404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1,670,715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2,303,192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2,214,522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2,244,404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2,360,310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Excluding depreciation and amortization</w:t>
      </w:r>
    </w:p>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DoubleDown Interactive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4"/>
                <w:szCs w:val="14"/>
                <w:color w:val="auto"/>
                <w:w w:val="94"/>
              </w:rPr>
              <w:t>Nine months</w:t>
            </w:r>
          </w:p>
        </w:tc>
        <w:tc>
          <w:tcPr>
            <w:tcW w:w="96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Nine months</w:t>
            </w:r>
          </w:p>
        </w:tc>
      </w:tr>
      <w:tr>
        <w:trPr>
          <w:trHeight w:val="148"/>
        </w:trPr>
        <w:tc>
          <w:tcPr>
            <w:tcW w:w="7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7"/>
              </w:rPr>
              <w:t>ended</w:t>
            </w:r>
          </w:p>
        </w:tc>
        <w:tc>
          <w:tcPr>
            <w:tcW w:w="18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7"/>
              </w:rPr>
              <w:t>ended</w:t>
            </w:r>
          </w:p>
        </w:tc>
      </w:tr>
      <w:tr>
        <w:trPr>
          <w:trHeight w:val="167"/>
        </w:trPr>
        <w:tc>
          <w:tcPr>
            <w:tcW w:w="7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4"/>
                <w:szCs w:val="14"/>
                <w:color w:val="auto"/>
                <w:w w:val="89"/>
              </w:rPr>
              <w:t>September 30,</w:t>
            </w:r>
          </w:p>
        </w:tc>
        <w:tc>
          <w:tcPr>
            <w:tcW w:w="960" w:type="dxa"/>
            <w:vAlign w:val="bottom"/>
            <w:gridSpan w:val="3"/>
          </w:tcPr>
          <w:p>
            <w:pPr>
              <w:jc w:val="center"/>
              <w:ind w:right="100"/>
              <w:spacing w:after="0"/>
              <w:rPr>
                <w:sz w:val="20"/>
                <w:szCs w:val="20"/>
                <w:color w:val="auto"/>
              </w:rPr>
            </w:pPr>
            <w:r>
              <w:rPr>
                <w:rFonts w:ascii="Arial" w:cs="Arial" w:eastAsia="Arial" w:hAnsi="Arial"/>
                <w:sz w:val="14"/>
                <w:szCs w:val="14"/>
                <w:color w:val="auto"/>
                <w:w w:val="89"/>
              </w:rPr>
              <w:t>September 30,</w:t>
            </w:r>
          </w:p>
        </w:tc>
      </w:tr>
      <w:tr>
        <w:trPr>
          <w:trHeight w:val="142"/>
        </w:trPr>
        <w:tc>
          <w:tcPr>
            <w:tcW w:w="724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71"/>
              <w:spacing w:after="0" w:line="142" w:lineRule="exact"/>
              <w:rPr>
                <w:sz w:val="20"/>
                <w:szCs w:val="20"/>
                <w:color w:val="auto"/>
              </w:rPr>
            </w:pPr>
            <w:r>
              <w:rPr>
                <w:rFonts w:ascii="Arial" w:cs="Arial" w:eastAsia="Arial" w:hAnsi="Arial"/>
                <w:sz w:val="14"/>
                <w:szCs w:val="14"/>
                <w:color w:val="auto"/>
                <w:w w:val="96"/>
              </w:rPr>
              <w:t>2021</w:t>
            </w:r>
          </w:p>
        </w:tc>
        <w:tc>
          <w:tcPr>
            <w:tcW w:w="4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91"/>
              <w:spacing w:after="0" w:line="142" w:lineRule="exact"/>
              <w:rPr>
                <w:sz w:val="20"/>
                <w:szCs w:val="20"/>
                <w:color w:val="auto"/>
              </w:rPr>
            </w:pPr>
            <w:r>
              <w:rPr>
                <w:rFonts w:ascii="Arial" w:cs="Arial" w:eastAsia="Arial" w:hAnsi="Arial"/>
                <w:sz w:val="14"/>
                <w:szCs w:val="14"/>
                <w:color w:val="auto"/>
                <w:w w:val="89"/>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 from operating activities:</w:t>
            </w: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60,671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38,150</w:t>
            </w: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15,704</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23,938</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Gain(loss) on foreign currency remeasurement of intercompany item</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3,524</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4,477</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interest expense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5,015</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(12,443)</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Prepaid expenses, other current and non-current assets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(2,628)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accrued expenses and other payables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5,170</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Contract liabilities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(868)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(7,035)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1,232</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Other current and non-current liabilities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7,358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r>
      <w:tr>
        <w:trPr>
          <w:trHeight w:val="27"/>
        </w:trPr>
        <w:tc>
          <w:tcPr>
            <w:tcW w:w="7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77,584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63,781</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Cash flow from (used in) investing activities: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of Double8 Games Co., Ltd.</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(1,952)</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Acquisition of intangible assets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intangible assets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Disposals of property and equipment</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Net cash flows from (used in) investing activities</w:t>
            </w:r>
          </w:p>
        </w:tc>
        <w:tc>
          <w:tcPr>
            <w:tcW w:w="1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19"/>
                <w:szCs w:val="19"/>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(used in) financing activities: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Repayments of long-term borrowings with related party</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(41,641)</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Isssuance of new shares-IPO</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86,452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Repayments of short-term senior note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(33,313)</w:t>
            </w:r>
          </w:p>
        </w:tc>
      </w:tr>
      <w:tr>
        <w:trPr>
          <w:trHeight w:val="27"/>
        </w:trPr>
        <w:tc>
          <w:tcPr>
            <w:tcW w:w="7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86,452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(74,954)</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foreign exchange difference on cash and cash equivalents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(4,035)</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(3,082)</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159,875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(16,406)</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63,188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42,418</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223,062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26,012</w:t>
            </w:r>
          </w:p>
        </w:tc>
      </w:tr>
    </w:tbl>
    <w:p>
      <w:pPr>
        <w:sectPr>
          <w:pgSz w:w="11900" w:h="16838" w:orient="portrait"/>
          <w:cols w:equalWidth="0" w:num="1">
            <w:col w:w="11020"/>
          </w:cols>
          <w:pgMar w:left="440" w:top="270"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20"/>
          </w:cols>
          <w:pgMar w:left="440" w:top="121"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DoubleDown Interactive Co.,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Contents</w:t>
            </w:r>
          </w:p>
        </w:tc>
        <w:tc>
          <w:tcPr>
            <w:tcW w:w="2700" w:type="dxa"/>
            <w:vAlign w:val="bottom"/>
          </w:tcPr>
          <w:p>
            <w:pPr>
              <w:spacing w:after="0"/>
              <w:rPr>
                <w:sz w:val="20"/>
                <w:szCs w:val="20"/>
                <w:color w:val="auto"/>
              </w:rPr>
            </w:pPr>
          </w:p>
        </w:tc>
      </w:tr>
      <w:tr>
        <w:trPr>
          <w:trHeight w:val="338"/>
        </w:trPr>
        <w:tc>
          <w:tcPr>
            <w:tcW w:w="8260" w:type="dxa"/>
            <w:vAlign w:val="bottom"/>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2700" w:type="dxa"/>
            <w:vAlign w:val="bottom"/>
          </w:tcPr>
          <w:p>
            <w:pPr>
              <w:spacing w:after="0"/>
              <w:rPr>
                <w:sz w:val="24"/>
                <w:szCs w:val="24"/>
                <w:color w:val="auto"/>
              </w:rPr>
            </w:pPr>
          </w:p>
        </w:tc>
      </w:tr>
      <w:tr>
        <w:trPr>
          <w:trHeight w:val="324"/>
        </w:trPr>
        <w:tc>
          <w:tcPr>
            <w:tcW w:w="8260" w:type="dxa"/>
            <w:vAlign w:val="bottom"/>
          </w:tcPr>
          <w:p>
            <w:pPr>
              <w:ind w:left="360"/>
              <w:spacing w:after="0"/>
              <w:rPr>
                <w:sz w:val="20"/>
                <w:szCs w:val="20"/>
                <w:color w:val="auto"/>
              </w:rPr>
            </w:pPr>
            <w:r>
              <w:rPr>
                <w:rFonts w:ascii="Arial" w:cs="Arial" w:eastAsia="Arial" w:hAnsi="Arial"/>
                <w:sz w:val="18"/>
                <w:szCs w:val="18"/>
                <w:color w:val="auto"/>
              </w:rPr>
              <w:t>Condensed Consolidated Statements of Income and Comprehensive Income</w:t>
            </w:r>
          </w:p>
        </w:tc>
        <w:tc>
          <w:tcPr>
            <w:tcW w:w="2700" w:type="dxa"/>
            <w:vAlign w:val="bottom"/>
          </w:tcPr>
          <w:p>
            <w:pPr>
              <w:ind w:left="2440"/>
              <w:spacing w:after="0"/>
              <w:rPr>
                <w:sz w:val="20"/>
                <w:szCs w:val="20"/>
                <w:color w:val="auto"/>
              </w:rPr>
            </w:pPr>
            <w:r>
              <w:rPr>
                <w:rFonts w:ascii="Arial" w:cs="Arial" w:eastAsia="Arial" w:hAnsi="Arial"/>
                <w:sz w:val="18"/>
                <w:szCs w:val="18"/>
                <w:color w:val="auto"/>
                <w:w w:val="88"/>
              </w:rPr>
              <w:t>F-3</w:t>
            </w:r>
          </w:p>
        </w:tc>
      </w:tr>
      <w:tr>
        <w:trPr>
          <w:trHeight w:val="324"/>
        </w:trPr>
        <w:tc>
          <w:tcPr>
            <w:tcW w:w="8260" w:type="dxa"/>
            <w:vAlign w:val="bottom"/>
          </w:tcPr>
          <w:p>
            <w:pPr>
              <w:ind w:left="360"/>
              <w:spacing w:after="0"/>
              <w:rPr>
                <w:sz w:val="20"/>
                <w:szCs w:val="20"/>
                <w:color w:val="auto"/>
              </w:rPr>
            </w:pPr>
            <w:r>
              <w:rPr>
                <w:rFonts w:ascii="Arial" w:cs="Arial" w:eastAsia="Arial" w:hAnsi="Arial"/>
                <w:sz w:val="18"/>
                <w:szCs w:val="18"/>
                <w:color w:val="auto"/>
              </w:rPr>
              <w:t>Condensed Consolidated Balance Sheets</w:t>
            </w:r>
          </w:p>
        </w:tc>
        <w:tc>
          <w:tcPr>
            <w:tcW w:w="2700" w:type="dxa"/>
            <w:vAlign w:val="bottom"/>
          </w:tcPr>
          <w:p>
            <w:pPr>
              <w:ind w:left="2440"/>
              <w:spacing w:after="0"/>
              <w:rPr>
                <w:sz w:val="20"/>
                <w:szCs w:val="20"/>
                <w:color w:val="auto"/>
              </w:rPr>
            </w:pPr>
            <w:r>
              <w:rPr>
                <w:rFonts w:ascii="Arial" w:cs="Arial" w:eastAsia="Arial" w:hAnsi="Arial"/>
                <w:sz w:val="18"/>
                <w:szCs w:val="18"/>
                <w:color w:val="auto"/>
                <w:w w:val="88"/>
              </w:rPr>
              <w:t>F-4</w:t>
            </w:r>
          </w:p>
        </w:tc>
      </w:tr>
      <w:tr>
        <w:trPr>
          <w:trHeight w:val="324"/>
        </w:trPr>
        <w:tc>
          <w:tcPr>
            <w:tcW w:w="8260" w:type="dxa"/>
            <w:vAlign w:val="bottom"/>
          </w:tcPr>
          <w:p>
            <w:pPr>
              <w:ind w:left="360"/>
              <w:spacing w:after="0"/>
              <w:rPr>
                <w:sz w:val="20"/>
                <w:szCs w:val="20"/>
                <w:color w:val="auto"/>
              </w:rPr>
            </w:pPr>
            <w:r>
              <w:rPr>
                <w:rFonts w:ascii="Arial" w:cs="Arial" w:eastAsia="Arial" w:hAnsi="Arial"/>
                <w:sz w:val="18"/>
                <w:szCs w:val="18"/>
                <w:color w:val="auto"/>
              </w:rPr>
              <w:t>Condensed Consolidated Statements of Changes in Shareholders’ Equity</w:t>
            </w:r>
          </w:p>
        </w:tc>
        <w:tc>
          <w:tcPr>
            <w:tcW w:w="2700" w:type="dxa"/>
            <w:vAlign w:val="bottom"/>
          </w:tcPr>
          <w:p>
            <w:pPr>
              <w:ind w:left="2440"/>
              <w:spacing w:after="0"/>
              <w:rPr>
                <w:sz w:val="20"/>
                <w:szCs w:val="20"/>
                <w:color w:val="auto"/>
              </w:rPr>
            </w:pPr>
            <w:r>
              <w:rPr>
                <w:rFonts w:ascii="Arial" w:cs="Arial" w:eastAsia="Arial" w:hAnsi="Arial"/>
                <w:sz w:val="18"/>
                <w:szCs w:val="18"/>
                <w:color w:val="auto"/>
                <w:w w:val="88"/>
              </w:rPr>
              <w:t>F-5</w:t>
            </w:r>
          </w:p>
        </w:tc>
      </w:tr>
      <w:tr>
        <w:trPr>
          <w:trHeight w:val="324"/>
        </w:trPr>
        <w:tc>
          <w:tcPr>
            <w:tcW w:w="8260" w:type="dxa"/>
            <w:vAlign w:val="bottom"/>
          </w:tcPr>
          <w:p>
            <w:pPr>
              <w:ind w:left="360"/>
              <w:spacing w:after="0"/>
              <w:rPr>
                <w:sz w:val="20"/>
                <w:szCs w:val="20"/>
                <w:color w:val="auto"/>
              </w:rPr>
            </w:pPr>
            <w:r>
              <w:rPr>
                <w:rFonts w:ascii="Arial" w:cs="Arial" w:eastAsia="Arial" w:hAnsi="Arial"/>
                <w:sz w:val="18"/>
                <w:szCs w:val="18"/>
                <w:color w:val="auto"/>
              </w:rPr>
              <w:t>Condensed Consolidated Statements of Cash Flows</w:t>
            </w:r>
          </w:p>
        </w:tc>
        <w:tc>
          <w:tcPr>
            <w:tcW w:w="2700" w:type="dxa"/>
            <w:vAlign w:val="bottom"/>
          </w:tcPr>
          <w:p>
            <w:pPr>
              <w:ind w:left="2440"/>
              <w:spacing w:after="0"/>
              <w:rPr>
                <w:sz w:val="20"/>
                <w:szCs w:val="20"/>
                <w:color w:val="auto"/>
              </w:rPr>
            </w:pPr>
            <w:r>
              <w:rPr>
                <w:rFonts w:ascii="Arial" w:cs="Arial" w:eastAsia="Arial" w:hAnsi="Arial"/>
                <w:sz w:val="18"/>
                <w:szCs w:val="18"/>
                <w:color w:val="auto"/>
                <w:w w:val="88"/>
              </w:rPr>
              <w:t>F-6</w:t>
            </w:r>
          </w:p>
        </w:tc>
      </w:tr>
      <w:tr>
        <w:trPr>
          <w:trHeight w:val="324"/>
        </w:trPr>
        <w:tc>
          <w:tcPr>
            <w:tcW w:w="8260" w:type="dxa"/>
            <w:vAlign w:val="bottom"/>
          </w:tcPr>
          <w:p>
            <w:pPr>
              <w:ind w:left="360"/>
              <w:spacing w:after="0"/>
              <w:rPr>
                <w:sz w:val="20"/>
                <w:szCs w:val="20"/>
                <w:color w:val="auto"/>
              </w:rPr>
            </w:pPr>
            <w:r>
              <w:rPr>
                <w:rFonts w:ascii="Arial" w:cs="Arial" w:eastAsia="Arial" w:hAnsi="Arial"/>
                <w:sz w:val="18"/>
                <w:szCs w:val="18"/>
                <w:color w:val="auto"/>
              </w:rPr>
              <w:t>Notes to Condensed Consolidated Financial Statements (unaudited)</w:t>
            </w:r>
          </w:p>
        </w:tc>
        <w:tc>
          <w:tcPr>
            <w:tcW w:w="2700" w:type="dxa"/>
            <w:vAlign w:val="bottom"/>
          </w:tcPr>
          <w:p>
            <w:pPr>
              <w:ind w:left="2440"/>
              <w:spacing w:after="0"/>
              <w:rPr>
                <w:sz w:val="20"/>
                <w:szCs w:val="20"/>
                <w:color w:val="auto"/>
              </w:rPr>
            </w:pPr>
            <w:r>
              <w:rPr>
                <w:rFonts w:ascii="Arial" w:cs="Arial" w:eastAsia="Arial" w:hAnsi="Arial"/>
                <w:sz w:val="18"/>
                <w:szCs w:val="18"/>
                <w:color w:val="auto"/>
                <w:w w:val="88"/>
              </w:rPr>
              <w:t>F-7</w:t>
            </w:r>
          </w:p>
        </w:tc>
      </w:tr>
      <w:tr>
        <w:trPr>
          <w:trHeight w:val="364"/>
        </w:trPr>
        <w:tc>
          <w:tcPr>
            <w:tcW w:w="8260" w:type="dxa"/>
            <w:vAlign w:val="bottom"/>
          </w:tcPr>
          <w:p>
            <w:pPr>
              <w:ind w:left="5380"/>
              <w:spacing w:after="0"/>
              <w:rPr>
                <w:sz w:val="20"/>
                <w:szCs w:val="20"/>
                <w:color w:val="auto"/>
              </w:rPr>
            </w:pPr>
            <w:r>
              <w:rPr>
                <w:rFonts w:ascii="Arial" w:cs="Arial" w:eastAsia="Arial" w:hAnsi="Arial"/>
                <w:sz w:val="18"/>
                <w:szCs w:val="18"/>
                <w:color w:val="auto"/>
              </w:rPr>
              <w:t>F-2</w:t>
            </w:r>
          </w:p>
        </w:tc>
        <w:tc>
          <w:tcPr>
            <w:tcW w:w="270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DoubleDown Interactive Co., Ltd.</w:t>
      </w:r>
    </w:p>
    <w:p>
      <w:pPr>
        <w:spacing w:after="0" w:line="23" w:lineRule="exact"/>
        <w:rPr>
          <w:sz w:val="20"/>
          <w:szCs w:val="20"/>
          <w:color w:val="auto"/>
        </w:rPr>
      </w:pPr>
    </w:p>
    <w:p>
      <w:pPr>
        <w:ind w:right="5380"/>
        <w:spacing w:after="0" w:line="323" w:lineRule="auto"/>
        <w:rPr>
          <w:sz w:val="20"/>
          <w:szCs w:val="20"/>
          <w:color w:val="auto"/>
        </w:rPr>
      </w:pPr>
      <w:r>
        <w:rPr>
          <w:rFonts w:ascii="Arial" w:cs="Arial" w:eastAsia="Arial" w:hAnsi="Arial"/>
          <w:sz w:val="16"/>
          <w:szCs w:val="16"/>
          <w:color w:val="auto"/>
        </w:rPr>
        <w:t>Condensed Consolidated Statement of Income and Comprehensive Income (In thousands of U.S. dollars, except share and per share amounts)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56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color w:val="auto"/>
              </w:rPr>
              <w:t>Nine Months Ended</w:t>
            </w:r>
          </w:p>
        </w:tc>
      </w:tr>
      <w:tr>
        <w:trPr>
          <w:trHeight w:val="167"/>
        </w:trPr>
        <w:tc>
          <w:tcPr>
            <w:tcW w:w="6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740"/>
              <w:spacing w:after="0"/>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Arial" w:cs="Arial" w:eastAsia="Arial" w:hAnsi="Arial"/>
                <w:sz w:val="14"/>
                <w:szCs w:val="14"/>
                <w:color w:val="auto"/>
              </w:rPr>
              <w:t>September 30,</w:t>
            </w:r>
          </w:p>
        </w:tc>
      </w:tr>
      <w:tr>
        <w:trPr>
          <w:trHeight w:val="142"/>
        </w:trPr>
        <w:tc>
          <w:tcPr>
            <w:tcW w:w="60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267,305</w:t>
            </w:r>
          </w:p>
        </w:tc>
        <w:tc>
          <w:tcPr>
            <w:tcW w:w="12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94,345</w:t>
            </w: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20,905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56,913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53,688</w:t>
            </w: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13,847</w:t>
            </w: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17,684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14,983</w:t>
            </w: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23,938</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201,759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200,801</w:t>
            </w:r>
          </w:p>
        </w:tc>
        <w:tc>
          <w:tcPr>
            <w:tcW w:w="120" w:type="dxa"/>
            <w:vAlign w:val="bottom"/>
          </w:tcPr>
          <w:p>
            <w:pPr>
              <w:spacing w:after="0"/>
              <w:rPr>
                <w:sz w:val="20"/>
                <w:szCs w:val="20"/>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66,504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(10,142)</w:t>
            </w: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foreign currency transactions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w:t>
            </w: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Gain (loss) on foreign currency remeasurement of intercompany items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(5,262)</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120" w:type="dxa"/>
            <w:vAlign w:val="bottom"/>
          </w:tcPr>
          <w:p>
            <w:pPr>
              <w:spacing w:after="0"/>
              <w:rPr>
                <w:sz w:val="20"/>
                <w:szCs w:val="20"/>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54,689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Income tax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(7,185)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(16,539)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38,150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Pension adjustments, net of tax</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Gain on foreign currency translation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15,869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53,808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Earnings per share: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27.03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17.30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2,303,192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2,214,522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2,244,404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1,670,715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2,303,192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2,214,522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2,244,404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2,360,311</w:t>
            </w:r>
          </w:p>
        </w:tc>
      </w:tr>
    </w:tbl>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Excluding depreciation and amortization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20"/>
          </w:cols>
          <w:pgMar w:left="440" w:top="27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and per share amounts)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spacing w:after="0"/>
              <w:rPr>
                <w:sz w:val="20"/>
                <w:szCs w:val="20"/>
                <w:color w:val="auto"/>
              </w:rPr>
            </w:pPr>
            <w:r>
              <w:rPr>
                <w:rFonts w:ascii="Arial" w:cs="Arial" w:eastAsia="Arial" w:hAnsi="Arial"/>
                <w:sz w:val="14"/>
                <w:szCs w:val="14"/>
                <w:color w:val="auto"/>
              </w:rPr>
              <w:t>September 30, 2021</w:t>
            </w:r>
          </w:p>
        </w:tc>
        <w:tc>
          <w:tcPr>
            <w:tcW w:w="1200" w:type="dxa"/>
            <w:vAlign w:val="bottom"/>
            <w:gridSpan w:val="3"/>
          </w:tcPr>
          <w:p>
            <w:pPr>
              <w:spacing w:after="0"/>
              <w:rPr>
                <w:sz w:val="20"/>
                <w:szCs w:val="20"/>
                <w:color w:val="auto"/>
              </w:rPr>
            </w:pPr>
            <w:r>
              <w:rPr>
                <w:rFonts w:ascii="Arial" w:cs="Arial" w:eastAsia="Arial" w:hAnsi="Arial"/>
                <w:sz w:val="14"/>
                <w:szCs w:val="14"/>
                <w:color w:val="auto"/>
                <w:w w:val="95"/>
              </w:rPr>
              <w:t>December 31, 2020</w:t>
            </w:r>
          </w:p>
        </w:tc>
      </w:tr>
      <w:tr>
        <w:trPr>
          <w:trHeight w:val="196"/>
        </w:trPr>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223,062</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63,188</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20,247</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23,299</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11,013</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4,020</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254,322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90,507</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7,644</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9,987</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55,801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71,364</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633,965</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633,965</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2,724</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954,870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806,831</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14,090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16,646</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Short-term operating lease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3,036</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2,838</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1,546</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2,415</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2,702</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25,649</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borrowings with related party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42,198</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45,956</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5,410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7,831</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25,993</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20,154</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107,942</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107,320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21,198</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18,924</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672,242</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588,064</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23,109</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22,815</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130,379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69,708</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846,928</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699,511</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954,870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806,831</w:t>
            </w:r>
          </w:p>
        </w:tc>
        <w:tc>
          <w:tcPr>
            <w:tcW w:w="6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and per share amounts)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4"/>
                <w:szCs w:val="14"/>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other</w:t>
            </w: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earnings</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shares</w:t>
            </w:r>
          </w:p>
        </w:tc>
        <w:tc>
          <w:tcPr>
            <w:tcW w:w="2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stock</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income/(loss)</w:t>
            </w:r>
          </w:p>
        </w:tc>
        <w:tc>
          <w:tcPr>
            <w:tcW w:w="10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(deficit)</w:t>
            </w:r>
          </w:p>
        </w:tc>
        <w:tc>
          <w:tcPr>
            <w:tcW w:w="1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w:t>
            </w: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As of July 1, 2020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2,214,522</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$18,924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$588,064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25,768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45,937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678,693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Pension adjustments, net of tax</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Gain (loss) on foreign currency translation</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As September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2,214,522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18,924</w:t>
            </w: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588,064</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54,235</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686,314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As of July 1, 2021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2,214,522</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$18,924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$588,064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23,990</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$107,546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738,524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Pension adjustments, net of tax</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Gain (loss) on foreign currency translation</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Issuance of new shares - IPO</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263,150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2,274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84,178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86,452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22,833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 September 30,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2,477,672</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21,198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672,242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23,109</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130,379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846,928</w:t>
            </w:r>
          </w:p>
        </w:tc>
        <w:tc>
          <w:tcPr>
            <w:tcW w:w="0" w:type="dxa"/>
            <w:vAlign w:val="bottom"/>
          </w:tcPr>
          <w:p>
            <w:pPr>
              <w:spacing w:after="0"/>
              <w:rPr>
                <w:sz w:val="1"/>
                <w:szCs w:val="1"/>
                <w:color w:val="auto"/>
              </w:rPr>
            </w:pPr>
          </w:p>
        </w:tc>
      </w:tr>
      <w:tr>
        <w:trPr>
          <w:trHeight w:val="376"/>
        </w:trPr>
        <w:tc>
          <w:tcPr>
            <w:tcW w:w="50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vMerge w:val="restart"/>
          </w:tcPr>
          <w:p>
            <w:pPr>
              <w:spacing w:after="0"/>
              <w:rPr>
                <w:sz w:val="24"/>
                <w:szCs w:val="24"/>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7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1"/>
              </w:rPr>
              <w:t>Retained</w:t>
            </w:r>
          </w:p>
        </w:tc>
        <w:tc>
          <w:tcPr>
            <w:tcW w:w="240" w:type="dxa"/>
            <w:vAlign w:val="bottom"/>
            <w:vMerge w:val="restart"/>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7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other</w:t>
            </w:r>
          </w:p>
        </w:tc>
        <w:tc>
          <w:tcPr>
            <w:tcW w:w="70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earnings</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shares</w:t>
            </w:r>
          </w:p>
        </w:tc>
        <w:tc>
          <w:tcPr>
            <w:tcW w:w="2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stock</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income/(loss)</w:t>
            </w:r>
          </w:p>
        </w:tc>
        <w:tc>
          <w:tcPr>
            <w:tcW w:w="10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(deficit)</w:t>
            </w:r>
          </w:p>
        </w:tc>
        <w:tc>
          <w:tcPr>
            <w:tcW w:w="1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Nine months ended</w:t>
            </w: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As of January 1, 2020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1,192,725</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$10,603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$344,547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9,433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16,085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380,668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Pension adjustments, net of tax</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Gain (loss) on foreign currency translation</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15,869</w:t>
            </w: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15,869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Capital investment from parent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Exercise of warrants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306,539</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2,496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61,878</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64,374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bonds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715,258</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5,825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181,270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187,095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38,150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38,150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2,214,522</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18,924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588,064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686,314</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2021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2,214,522</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$18,924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$588,064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69,708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699,511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Pension adjustments, net of tax</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translation</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Issuance of new shares - IPO</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263,150</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2,274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84,178</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86,452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60,671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60,671</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As of September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2,477,672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21,198</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672,242</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130,379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20"/>
          </w:cols>
          <w:pgMar w:left="440" w:top="274"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and per share amounts) (unaudited)</w:t>
      </w:r>
    </w:p>
    <w:tbl>
      <w:tblPr>
        <w:tblLayout w:type="fixed"/>
        <w:tblInd w:w="0" w:type="dxa"/>
        <w:tblCellMar>
          <w:top w:w="0" w:type="dxa"/>
          <w:left w:w="0" w:type="dxa"/>
          <w:bottom w:w="0" w:type="dxa"/>
          <w:right w:w="0" w:type="dxa"/>
        </w:tblCellMar>
      </w:tblPr>
      <w:tr>
        <w:trPr>
          <w:trHeight w:val="135"/>
        </w:trPr>
        <w:tc>
          <w:tcPr>
            <w:tcW w:w="6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Nine months ended</w:t>
            </w:r>
          </w:p>
        </w:tc>
        <w:tc>
          <w:tcPr>
            <w:tcW w:w="13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8"/>
              </w:rPr>
              <w:t>Nine months ended</w:t>
            </w:r>
          </w:p>
        </w:tc>
      </w:tr>
      <w:tr>
        <w:trPr>
          <w:trHeight w:val="171"/>
        </w:trPr>
        <w:tc>
          <w:tcPr>
            <w:tcW w:w="6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7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color w:val="auto"/>
              </w:rPr>
              <w:t>2021</w:t>
            </w:r>
          </w:p>
        </w:tc>
        <w:tc>
          <w:tcPr>
            <w:tcW w:w="7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 from operating activities: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60,671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38,150</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15,704</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23,938</w:t>
            </w: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Gain(loss) on foreign currency remeasurement of intercompany items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4,477</w:t>
            </w: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interest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(12,443)</w:t>
            </w: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Prepaid expenses, other current and non-current assets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accrued expenses and other payables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5,170</w:t>
            </w: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Contract liabilities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(7,035)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1,232</w:t>
            </w: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Other current and non-current liabilities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7,358</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77,584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63,781</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Cash flow from (used in) investing activities: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of Double8 Games Co., Ltd.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(1,952)</w:t>
            </w: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Acquisition of intangible assets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intangible assets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Disposals of property and equipment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cash flows from (used in) investing activities</w:t>
            </w: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(used in) financing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Repayments of long-term borrowings with related party</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(41,641)</w:t>
            </w: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Issuance of new shares- IPO</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86,452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Repayments of short-term senior note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(33,313)</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86,452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(74,954)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foreign exchange difference on cash and cash equivalents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(4,035)</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(3,082)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159,875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(16,406)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63,188</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42,418</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223,062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26,012</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activity:</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Conversion of 2.5% Convertible bonds, net of tax</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187,095</w:t>
            </w: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Conversion of 2.5% Non-convertible bonds with warrants, net of tax</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64,374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Cash paid for: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5,790</w:t>
            </w:r>
          </w:p>
        </w:tc>
      </w:tr>
      <w:tr>
        <w:trPr>
          <w:trHeight w:val="230"/>
        </w:trPr>
        <w:tc>
          <w:tcPr>
            <w:tcW w:w="6740" w:type="dxa"/>
            <w:vAlign w:val="bottom"/>
          </w:tcPr>
          <w:p>
            <w:pPr>
              <w:ind w:left="720"/>
              <w:spacing w:after="0"/>
              <w:rPr>
                <w:sz w:val="20"/>
                <w:szCs w:val="20"/>
                <w:color w:val="auto"/>
              </w:rPr>
            </w:pPr>
            <w:r>
              <w:rPr>
                <w:rFonts w:ascii="Arial" w:cs="Arial" w:eastAsia="Arial" w:hAnsi="Arial"/>
                <w:sz w:val="18"/>
                <w:szCs w:val="18"/>
                <w:color w:val="auto"/>
              </w:rPr>
              <w:t>Income taxes</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13,698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9,432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20"/>
          </w:cols>
          <w:pgMar w:left="440" w:top="274"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1" w:lineRule="exact"/>
        <w:rPr>
          <w:sz w:val="20"/>
          <w:szCs w:val="20"/>
          <w:color w:val="auto"/>
        </w:rPr>
      </w:pPr>
    </w:p>
    <w:p>
      <w:pPr>
        <w:ind w:right="5400"/>
        <w:spacing w:after="0" w:line="375" w:lineRule="auto"/>
        <w:rPr>
          <w:sz w:val="20"/>
          <w:szCs w:val="20"/>
          <w:color w:val="auto"/>
        </w:rPr>
      </w:pPr>
      <w:r>
        <w:rPr>
          <w:rFonts w:ascii="Arial" w:cs="Arial" w:eastAsia="Arial" w:hAnsi="Arial"/>
          <w:sz w:val="18"/>
          <w:szCs w:val="18"/>
          <w:color w:val="auto"/>
        </w:rPr>
        <w:t xml:space="preserve">Note 1: Basis of presentation and summary of significant accounting policies </w:t>
      </w:r>
      <w:r>
        <w:rPr>
          <w:rFonts w:ascii="Arial" w:cs="Arial" w:eastAsia="Arial" w:hAnsi="Arial"/>
          <w:sz w:val="18"/>
          <w:szCs w:val="18"/>
          <w:i w:val="1"/>
          <w:iCs w:val="1"/>
          <w:color w:val="auto"/>
        </w:rPr>
        <w:t>Description of business</w:t>
      </w:r>
    </w:p>
    <w:p>
      <w:pPr>
        <w:spacing w:after="0" w:line="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DoubleDown Interactive Co., Ltd. (“DDI,” “we,” “us,” “our” or “the Company,” formerly known as The8Games Co., Ltd.) was incorporated in 2008 in Seoul, Korea as an interactive entertainment studio, focused on the development and publishing of casual games and mobile applications. DDI is a subsidiary of DoubleU Games Co., Ltd. (“DUG” or “DoubleU Games”), a Korean company and our controlling shareholder holding 67.1% of our outstanding shares. The remaining 32.9% of our outstanding shares are held by STIC Special Situation Private Equity Fund (“STIC”, 20.2%) and by participants in our IPO (12.7%). In 2017, DDI acquired DoubleDown Interactive, LLC (“DDI-US”) from International Gaming Technologies (“IGT”) for approximately $825 million. DDI-US, with its principal place of business located in Seattle, Washington, is our primary revenue-generating entity.</w:t>
      </w:r>
    </w:p>
    <w:p>
      <w:pPr>
        <w:spacing w:after="0" w:line="1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develop and publish digital gaming content on various mobile and web platforms through our multi-format interactive all-in-one game experience concept. We host DoubleDown Casino, DoubleDown Classic and DoubleDown Fort Knox within various formats.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September 2, 2021, DoubleDown Interactive Co., Ltd. filed its initial public offering (the “Offering”) of 6,316,000 American Depositary Shares (the “ADSs”), each representing 0.05 common share, with par value of </w:t>
      </w:r>
      <w:r>
        <w:rPr>
          <w:rFonts w:ascii="Arial" w:cs="Arial" w:eastAsia="Arial" w:hAnsi="Arial"/>
          <w:sz w:val="18"/>
          <w:szCs w:val="18"/>
          <w:color w:val="auto"/>
          <w:strike w:val="1"/>
        </w:rPr>
        <w:t>W</w:t>
      </w:r>
      <w:r>
        <w:rPr>
          <w:rFonts w:ascii="Arial" w:cs="Arial" w:eastAsia="Arial" w:hAnsi="Arial"/>
          <w:sz w:val="18"/>
          <w:szCs w:val="18"/>
          <w:color w:val="auto"/>
        </w:rPr>
        <w:t>10,000 per share, of the Company, at a price to the public of $18.00 per ADS, before underwriting discounts and commissions. The number of ADSs sold by the Company was 5,263,000, and the number of ADSs sold by STIC Special Situation Diamond Limited, the selling shareholder in the Offering (the “Selling Shareholder”), was 1,053,000. The net proceeds to us from this offering were approximately $86.5 million, after deducting the underwriting discounts and commissions and the estimated offering expenses in the aggregate of approximately $8.2 million paid by us.</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intend to use the net proceeds from this offering for working capital and general corporate purposes, which may include potential payments that could result from resolution of pending legal proceedings.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Prior to this offering, there has been no public market for our common shares or ADSs. Our ADSs trade on the NASDAQ Stock Market (“NASDAQ”) under the symbol “DDI.”</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Double8 Games Co.,Ltd. (“Double8 Games”)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25, 2020, we completed the acquisition of Double8 Games Co., Ltd. (“Double8 Games”) from DoubleU Games in exchange for KRW 2.3 billion. Double8 Games is based in Seoul, Korea, with the primary business of developing digital gaming content for international markets. The acquisition was considered a business combination among entities under common control and, therefore, the transfer of net assets was recorded at their carrying value with all financial information prior to the acquisition adjusted for comparability.</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Assets acquired and liabilities assumed primarily consist of working capital items, including a right of use asset and lease obligation. The difference between the cash paid and carrying value of the net assets received was recorded as a capital investment from parent.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940"/>
          </w:cols>
          <w:pgMar w:left="440" w:top="274" w:right="51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Basis of presentation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unaudited condensed consolidated financial statements include all adjustments of a normal, recurring nature necessary for the fair presentation of the results for the interim periods presented. The results for the interim period presented are not necessarily indicative of those for the full year. The condensed consolidated financial statements should be read in conjunction with our consolidated financial statements for the years ended December 31, 2020, 2019 and 2018.</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condensed consolidated financial statements include the balances and accounts of DDI and our controlled subsidiaries. All significant inter-company transactions, balances and unrealized gains or losses have been eliminated. We view our operations and manage our business as one operating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our management to make estimates and assumptions that affect financial statements and accompanying notes. We regularly evaluate estimates and assumptions related to provisions for income taxes, revenue recognition, expense accruals, deferred income tax asset valuation allowances, valuation of goodwill and intangibles, and legal contingencies.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actual results and outcomes may differ from management’s estimates and assumptions due to risks and uncertainties, including uncertainty in the current economic environment due to the recent outbreak of a novel strain of the coronavirus (“COVID-19”).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Functional currency and translation of financial statements</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functional currency is the Korean Won (“KRW”) and the U.S. Dollar (“dollar,” “USD,” “US$,” or “$”) is the functional currency of our United States subsidiaries. The accompanying condensed consolidated financial statements are presented in USD. The condensed consolidated balance sheet has been translated at the exchange rates prevailing at each balance sheet date. The condensed consolidated statements of income and comprehensive income and statement of cash flows have been translated using the weighted-average exchange rates prevailing during the periods of each statement. The equity capital is denominated in the functional currency, KRW, and is translated at historical exchange rates. All translation adjustments resulting from translating into the reporting currency are accumulated as a separate component of accumulated other comprehensive income in shareholders’ equity. Gains or losses resulting from foreign currency transactions are included in other income (expense).</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Intercompany monetary items denominated in foreign currencies are translated into the functional currency at the exchange rate at the reporting date with the gain or loss arising on translation recorded to other income (expense). Intercompany non-monetary items that are measured at historical cost in a foreign currency are translated using the exchange rates at the dates of the initial transactions. When we parenthetically disclose USD amounts for certain financial instruments denominated in KRW for the benefit of the reader in the current period, we use the exchange rates in effect as of September 30, 2021, unless otherwise noted.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0940"/>
          </w:cols>
          <w:pgMar w:left="440" w:top="274" w:right="51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instruments and concentration of 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and accounts receivable.</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Accounts receivable are recorded and carried at the net invoiced amount, which is net of platform payment processing fees, unsecured, and represent amounts between us based on contractual obligations where an executed contract exists. We do not require collateral and have not recognized an allowance as management estimates the net receivable is fully collectible. Apple, Inc. (“Apple”), Facebook, Inc. (“Facebook”), and Google, LLC (“Google”) represent significant distribution, marketing, and payment platforms for our games. A substantial portion of our revenue for the three and nine months ended September 30, 2021 was generated from players who accessed our games through these platforms and a significant concentration of our accounts receivable balance is comprised of balances owed to us by these platforms.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the percentage of revenue and accounts receivable generated via our platform providers in excess of 10% of our total revenue and total accounts receivable:</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6"/>
          </w:tcPr>
          <w:p>
            <w:pPr>
              <w:jc w:val="right"/>
              <w:ind w:right="1440"/>
              <w:spacing w:after="0"/>
              <w:rPr>
                <w:sz w:val="20"/>
                <w:szCs w:val="20"/>
                <w:color w:val="auto"/>
              </w:rPr>
            </w:pPr>
            <w:r>
              <w:rPr>
                <w:rFonts w:ascii="Arial" w:cs="Arial" w:eastAsia="Arial" w:hAnsi="Arial"/>
                <w:sz w:val="14"/>
                <w:szCs w:val="14"/>
                <w:b w:val="1"/>
                <w:bCs w:val="1"/>
                <w:color w:val="auto"/>
              </w:rPr>
              <w:t>Revenue concentration</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220" w:type="dxa"/>
            <w:vAlign w:val="bottom"/>
            <w:gridSpan w:val="5"/>
          </w:tcPr>
          <w:p>
            <w:pPr>
              <w:ind w:left="220"/>
              <w:spacing w:after="0" w:line="142" w:lineRule="exact"/>
              <w:rPr>
                <w:sz w:val="20"/>
                <w:szCs w:val="20"/>
                <w:color w:val="auto"/>
              </w:rPr>
            </w:pPr>
            <w:r>
              <w:rPr>
                <w:rFonts w:ascii="Arial" w:cs="Arial" w:eastAsia="Arial" w:hAnsi="Arial"/>
                <w:sz w:val="14"/>
                <w:szCs w:val="14"/>
                <w:color w:val="auto"/>
              </w:rPr>
              <w:t>Three months ended September 30,</w:t>
            </w:r>
          </w:p>
        </w:tc>
        <w:tc>
          <w:tcPr>
            <w:tcW w:w="80" w:type="dxa"/>
            <w:vAlign w:val="bottom"/>
          </w:tcPr>
          <w:p>
            <w:pPr>
              <w:spacing w:after="0"/>
              <w:rPr>
                <w:sz w:val="12"/>
                <w:szCs w:val="12"/>
                <w:color w:val="auto"/>
              </w:rPr>
            </w:pPr>
          </w:p>
        </w:tc>
        <w:tc>
          <w:tcPr>
            <w:tcW w:w="2360" w:type="dxa"/>
            <w:vAlign w:val="bottom"/>
            <w:gridSpan w:val="3"/>
          </w:tcPr>
          <w:p>
            <w:pPr>
              <w:jc w:val="right"/>
              <w:ind w:right="135"/>
              <w:spacing w:after="0" w:line="142" w:lineRule="exact"/>
              <w:rPr>
                <w:sz w:val="20"/>
                <w:szCs w:val="20"/>
                <w:color w:val="auto"/>
              </w:rPr>
            </w:pPr>
            <w:r>
              <w:rPr>
                <w:rFonts w:ascii="Arial" w:cs="Arial" w:eastAsia="Arial" w:hAnsi="Arial"/>
                <w:sz w:val="14"/>
                <w:szCs w:val="14"/>
                <w:color w:val="auto"/>
                <w:w w:val="97"/>
              </w:rPr>
              <w:t>Nine months ended September 30,</w:t>
            </w:r>
          </w:p>
        </w:tc>
        <w:tc>
          <w:tcPr>
            <w:tcW w:w="200" w:type="dxa"/>
            <w:vAlign w:val="bottom"/>
          </w:tcPr>
          <w:p>
            <w:pPr>
              <w:spacing w:after="0"/>
              <w:rPr>
                <w:sz w:val="12"/>
                <w:szCs w:val="12"/>
                <w:color w:val="auto"/>
              </w:rPr>
            </w:pPr>
          </w:p>
        </w:tc>
      </w:tr>
      <w:tr>
        <w:trPr>
          <w:trHeight w:val="142"/>
        </w:trPr>
        <w:tc>
          <w:tcPr>
            <w:tcW w:w="8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2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color w:val="auto"/>
              </w:rPr>
              <w:t>2021</w:t>
            </w:r>
          </w:p>
        </w:tc>
        <w:tc>
          <w:tcPr>
            <w:tcW w:w="6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2020</w:t>
            </w:r>
          </w:p>
        </w:tc>
        <w:tc>
          <w:tcPr>
            <w:tcW w:w="720" w:type="dxa"/>
            <w:vAlign w:val="bottom"/>
          </w:tcPr>
          <w:p>
            <w:pPr>
              <w:spacing w:after="0"/>
              <w:rPr>
                <w:sz w:val="12"/>
                <w:szCs w:val="12"/>
                <w:color w:val="auto"/>
              </w:rPr>
            </w:pPr>
          </w:p>
        </w:tc>
        <w:tc>
          <w:tcPr>
            <w:tcW w:w="1560" w:type="dxa"/>
            <w:vAlign w:val="bottom"/>
            <w:tcBorders>
              <w:top w:val="single" w:sz="8" w:color="auto"/>
            </w:tcBorders>
            <w:gridSpan w:val="2"/>
          </w:tcPr>
          <w:p>
            <w:pPr>
              <w:jc w:val="right"/>
              <w:ind w:right="982"/>
              <w:spacing w:after="0" w:line="142" w:lineRule="exact"/>
              <w:rPr>
                <w:sz w:val="20"/>
                <w:szCs w:val="20"/>
                <w:color w:val="auto"/>
              </w:rPr>
            </w:pPr>
            <w:r>
              <w:rPr>
                <w:rFonts w:ascii="Arial" w:cs="Arial" w:eastAsia="Arial" w:hAnsi="Arial"/>
                <w:sz w:val="14"/>
                <w:szCs w:val="14"/>
                <w:color w:val="auto"/>
              </w:rPr>
              <w:t>2021</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2020</w:t>
            </w:r>
          </w:p>
        </w:tc>
        <w:tc>
          <w:tcPr>
            <w:tcW w:w="200" w:type="dxa"/>
            <w:vAlign w:val="bottom"/>
          </w:tcPr>
          <w:p>
            <w:pPr>
              <w:spacing w:after="0"/>
              <w:rPr>
                <w:sz w:val="12"/>
                <w:szCs w:val="12"/>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Apple</w:t>
            </w:r>
          </w:p>
        </w:tc>
        <w:tc>
          <w:tcPr>
            <w:tcW w:w="468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52.1%</w:t>
            </w:r>
          </w:p>
        </w:tc>
        <w:tc>
          <w:tcPr>
            <w:tcW w:w="19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51.3%</w:t>
            </w:r>
          </w:p>
        </w:tc>
        <w:tc>
          <w:tcPr>
            <w:tcW w:w="156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Facebook</w:t>
            </w:r>
          </w:p>
        </w:tc>
        <w:tc>
          <w:tcPr>
            <w:tcW w:w="4680" w:type="dxa"/>
            <w:vAlign w:val="bottom"/>
            <w:gridSpan w:val="3"/>
          </w:tcPr>
          <w:p>
            <w:pPr>
              <w:jc w:val="right"/>
              <w:ind w:right="299"/>
              <w:spacing w:after="0"/>
              <w:rPr>
                <w:sz w:val="20"/>
                <w:szCs w:val="20"/>
                <w:color w:val="auto"/>
              </w:rPr>
            </w:pPr>
            <w:r>
              <w:rPr>
                <w:rFonts w:ascii="Arial" w:cs="Arial" w:eastAsia="Arial" w:hAnsi="Arial"/>
                <w:sz w:val="18"/>
                <w:szCs w:val="18"/>
                <w:color w:val="auto"/>
              </w:rPr>
              <w:t>25.6%</w:t>
            </w:r>
          </w:p>
        </w:tc>
        <w:tc>
          <w:tcPr>
            <w:tcW w:w="1920" w:type="dxa"/>
            <w:vAlign w:val="bottom"/>
            <w:gridSpan w:val="3"/>
          </w:tcPr>
          <w:p>
            <w:pPr>
              <w:jc w:val="right"/>
              <w:ind w:right="580"/>
              <w:spacing w:after="0"/>
              <w:rPr>
                <w:sz w:val="20"/>
                <w:szCs w:val="20"/>
                <w:color w:val="auto"/>
              </w:rPr>
            </w:pPr>
            <w:r>
              <w:rPr>
                <w:rFonts w:ascii="Arial" w:cs="Arial" w:eastAsia="Arial" w:hAnsi="Arial"/>
                <w:sz w:val="18"/>
                <w:szCs w:val="18"/>
                <w:color w:val="auto"/>
              </w:rPr>
              <w:t>26.5%</w:t>
            </w:r>
          </w:p>
        </w:tc>
        <w:tc>
          <w:tcPr>
            <w:tcW w:w="1560" w:type="dxa"/>
            <w:vAlign w:val="bottom"/>
            <w:gridSpan w:val="2"/>
          </w:tcPr>
          <w:p>
            <w:pPr>
              <w:jc w:val="right"/>
              <w:ind w:right="602"/>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Google</w:t>
            </w:r>
          </w:p>
        </w:tc>
        <w:tc>
          <w:tcPr>
            <w:tcW w:w="468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19.1%</w:t>
            </w:r>
          </w:p>
        </w:tc>
        <w:tc>
          <w:tcPr>
            <w:tcW w:w="19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19.2%</w:t>
            </w:r>
          </w:p>
        </w:tc>
        <w:tc>
          <w:tcPr>
            <w:tcW w:w="156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r>
      <w:tr>
        <w:trPr>
          <w:trHeight w:val="391"/>
        </w:trPr>
        <w:tc>
          <w:tcPr>
            <w:tcW w:w="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8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Accounts receivable concentration</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88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As of September 30, 2021</w:t>
            </w:r>
          </w:p>
        </w:tc>
        <w:tc>
          <w:tcPr>
            <w:tcW w:w="1080" w:type="dxa"/>
            <w:vAlign w:val="bottom"/>
            <w:tcBorders>
              <w:top w:val="single" w:sz="8" w:color="auto"/>
              <w:bottom w:val="single" w:sz="8" w:color="CCEEFF"/>
            </w:tcBorders>
            <w:gridSpan w:val="2"/>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As of December 31, 2020</w:t>
            </w:r>
          </w:p>
        </w:tc>
        <w:tc>
          <w:tcPr>
            <w:tcW w:w="200" w:type="dxa"/>
            <w:vAlign w:val="bottom"/>
            <w:tcBorders>
              <w:bottom w:val="single" w:sz="8" w:color="CCEEFF"/>
            </w:tcBorders>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9"/>
        </w:trPr>
        <w:tc>
          <w:tcPr>
            <w:tcW w:w="88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Apple</w:t>
            </w:r>
          </w:p>
        </w:tc>
        <w:tc>
          <w:tcPr>
            <w:tcW w:w="6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Facebook</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72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25.9%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Google</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7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64"/>
        </w:trPr>
        <w:tc>
          <w:tcPr>
            <w:tcW w:w="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299"/>
              <w:spacing w:after="0"/>
              <w:rPr>
                <w:sz w:val="20"/>
                <w:szCs w:val="20"/>
                <w:color w:val="auto"/>
              </w:rPr>
            </w:pPr>
            <w:r>
              <w:rPr>
                <w:rFonts w:ascii="Arial" w:cs="Arial" w:eastAsia="Arial" w:hAnsi="Arial"/>
                <w:sz w:val="18"/>
                <w:szCs w:val="18"/>
                <w:color w:val="auto"/>
              </w:rPr>
              <w:t>F-9</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900"/>
          </w:cols>
          <w:pgMar w:left="440" w:top="274" w:right="55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2. Revenue from contracts with customers</w:t>
      </w:r>
    </w:p>
    <w:p>
      <w:pPr>
        <w:spacing w:after="0" w:line="117" w:lineRule="exact"/>
        <w:rPr>
          <w:sz w:val="20"/>
          <w:szCs w:val="20"/>
          <w:color w:val="auto"/>
        </w:rPr>
      </w:pPr>
    </w:p>
    <w:p>
      <w:pPr>
        <w:ind w:left="4" w:right="180"/>
        <w:spacing w:after="0" w:line="301" w:lineRule="auto"/>
        <w:rPr>
          <w:sz w:val="20"/>
          <w:szCs w:val="20"/>
          <w:color w:val="auto"/>
        </w:rPr>
      </w:pPr>
      <w:r>
        <w:rPr>
          <w:rFonts w:ascii="Arial" w:cs="Arial" w:eastAsia="Arial" w:hAnsi="Arial"/>
          <w:sz w:val="16"/>
          <w:szCs w:val="16"/>
          <w:color w:val="auto"/>
        </w:rPr>
        <w:t>Our social and mobile apps operate on a free-to-play model, whereby game players may collect virtual currency free of charge through the passage of time or through targeted marketing promotions. If a game player wishes to obtain virtual currency above and beyond the level of free virtual currency available to that player, the player may purchase additional virtual currency. Once a purchase is completed, the virtual currency is deposited into the player’s account and is not separately identifiable from previously purchased virtual currency or virtual currency obtained by the game player for free.</w:t>
      </w:r>
    </w:p>
    <w:p>
      <w:pPr>
        <w:spacing w:after="0" w:line="157"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Once obtained, virtual currency (either free or purchased) cannot be redeemed for cash nor exchanged for anything other than gameplay within our apps. When virtual currency is played on any of our games, the game player could “win” and would be awarded additional virtual currency or could “lose” and lose the future use of that virtual currency. We have concluded that our virtual currency represents consumable goods, because the game player does not receive any additional benefit from the games and is not entitled to any additional rights once the virtual currency is substantially consumed.</w:t>
      </w:r>
    </w:p>
    <w:p>
      <w:pPr>
        <w:spacing w:after="0" w:line="157"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Control transfers when the virtual currency is consumed for gameplay. We recognize revenue from player purchases of virtual currency based on the consumption of this currency. We determined through a review of play behavior that game players generally do not purchase additional virtual currency until their existing virtual currency balances, regardless of source (e.g. bonus currency, gifted currency through social media channels, daily free chips, etc.), have been substantially consumed.</w:t>
      </w:r>
    </w:p>
    <w:p>
      <w:pPr>
        <w:spacing w:after="0" w:line="187" w:lineRule="exact"/>
        <w:rPr>
          <w:sz w:val="20"/>
          <w:szCs w:val="20"/>
          <w:color w:val="auto"/>
        </w:rPr>
      </w:pPr>
    </w:p>
    <w:p>
      <w:pPr>
        <w:ind w:left="4" w:right="140"/>
        <w:spacing w:after="0" w:line="311" w:lineRule="auto"/>
        <w:rPr>
          <w:sz w:val="20"/>
          <w:szCs w:val="20"/>
          <w:color w:val="auto"/>
        </w:rPr>
      </w:pPr>
      <w:r>
        <w:rPr>
          <w:rFonts w:ascii="Arial" w:cs="Arial" w:eastAsia="Arial" w:hAnsi="Arial"/>
          <w:sz w:val="16"/>
          <w:szCs w:val="16"/>
          <w:color w:val="auto"/>
        </w:rPr>
        <w:t>Based on an analysis of customers’ historical play behavior, purchase behavior, and the amount of virtual currency outstanding, we are able to estimate the rate that virtual currency is consumed during gameplay. Accordingly, revenue is recognized using a user-based revenue model with the period between purchases representing the timing difference between virtual currency purchase and consumption. This timing difference is relatively short.</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continuously gather and analyze detailed customer play behavior and assess this data in relation to our judgments used for revenue recognition.</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We believe disaggregation of our revenue based on platform and geographical location is appropriate as these are categories that depict how the nature, amount, timing and uncertainty of revenue and cash flows are affected by economic factors.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represents our revenue disaggregated based on mobile and web platforms (in thousands):</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67"/>
        </w:trPr>
        <w:tc>
          <w:tcPr>
            <w:tcW w:w="5440" w:type="dxa"/>
            <w:vAlign w:val="bottom"/>
          </w:tcPr>
          <w:p>
            <w:pPr>
              <w:spacing w:after="0"/>
              <w:rPr>
                <w:sz w:val="14"/>
                <w:szCs w:val="14"/>
                <w:color w:val="auto"/>
              </w:rPr>
            </w:pPr>
          </w:p>
        </w:tc>
        <w:tc>
          <w:tcPr>
            <w:tcW w:w="2340" w:type="dxa"/>
            <w:vAlign w:val="bottom"/>
            <w:gridSpan w:val="7"/>
          </w:tcPr>
          <w:p>
            <w:pPr>
              <w:ind w:left="80"/>
              <w:spacing w:after="0"/>
              <w:rPr>
                <w:sz w:val="20"/>
                <w:szCs w:val="20"/>
                <w:color w:val="auto"/>
              </w:rPr>
            </w:pPr>
            <w:r>
              <w:rPr>
                <w:rFonts w:ascii="Arial" w:cs="Arial" w:eastAsia="Arial" w:hAnsi="Arial"/>
                <w:sz w:val="14"/>
                <w:szCs w:val="14"/>
                <w:color w:val="auto"/>
                <w:w w:val="99"/>
              </w:rPr>
              <w:t>Three months ended September 30,</w:t>
            </w:r>
          </w:p>
        </w:tc>
        <w:tc>
          <w:tcPr>
            <w:tcW w:w="160" w:type="dxa"/>
            <w:vAlign w:val="bottom"/>
          </w:tcPr>
          <w:p>
            <w:pPr>
              <w:spacing w:after="0"/>
              <w:rPr>
                <w:sz w:val="14"/>
                <w:szCs w:val="14"/>
                <w:color w:val="auto"/>
              </w:rPr>
            </w:pPr>
          </w:p>
        </w:tc>
        <w:tc>
          <w:tcPr>
            <w:tcW w:w="2180" w:type="dxa"/>
            <w:vAlign w:val="bottom"/>
            <w:gridSpan w:val="7"/>
          </w:tcPr>
          <w:p>
            <w:pPr>
              <w:ind w:left="80"/>
              <w:spacing w:after="0"/>
              <w:rPr>
                <w:sz w:val="20"/>
                <w:szCs w:val="20"/>
                <w:color w:val="auto"/>
              </w:rPr>
            </w:pPr>
            <w:r>
              <w:rPr>
                <w:rFonts w:ascii="Arial" w:cs="Arial" w:eastAsia="Arial" w:hAnsi="Arial"/>
                <w:sz w:val="14"/>
                <w:szCs w:val="14"/>
                <w:color w:val="auto"/>
                <w:w w:val="95"/>
              </w:rPr>
              <w:t>Nine months ended September 30,</w:t>
            </w:r>
          </w:p>
        </w:tc>
      </w:tr>
      <w:tr>
        <w:trPr>
          <w:trHeight w:val="142"/>
        </w:trPr>
        <w:tc>
          <w:tcPr>
            <w:tcW w:w="54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Mobile</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66,913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191,098</w:t>
            </w:r>
          </w:p>
        </w:tc>
        <w:tc>
          <w:tcPr>
            <w:tcW w:w="4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Web</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23,331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25,253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75,905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76,207</w:t>
            </w:r>
          </w:p>
        </w:tc>
      </w:tr>
      <w:tr>
        <w:trPr>
          <w:trHeight w:val="27"/>
        </w:trPr>
        <w:tc>
          <w:tcPr>
            <w:tcW w:w="5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87,007</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92,166</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276,902</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267,305</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represents our revenue disaggregated based on the geographical location of our players (in thousands):</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67"/>
        </w:trPr>
        <w:tc>
          <w:tcPr>
            <w:tcW w:w="3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20" w:type="dxa"/>
            <w:vAlign w:val="bottom"/>
            <w:gridSpan w:val="7"/>
          </w:tcPr>
          <w:p>
            <w:pPr>
              <w:jc w:val="right"/>
              <w:ind w:right="220"/>
              <w:spacing w:after="0"/>
              <w:rPr>
                <w:sz w:val="20"/>
                <w:szCs w:val="20"/>
                <w:color w:val="auto"/>
              </w:rPr>
            </w:pPr>
            <w:r>
              <w:rPr>
                <w:rFonts w:ascii="Arial" w:cs="Arial" w:eastAsia="Arial" w:hAnsi="Arial"/>
                <w:sz w:val="14"/>
                <w:szCs w:val="14"/>
                <w:color w:val="auto"/>
                <w:w w:val="92"/>
              </w:rPr>
              <w:t>Three months ended September 30,</w:t>
            </w:r>
          </w:p>
        </w:tc>
        <w:tc>
          <w:tcPr>
            <w:tcW w:w="160" w:type="dxa"/>
            <w:vAlign w:val="bottom"/>
          </w:tcPr>
          <w:p>
            <w:pPr>
              <w:spacing w:after="0"/>
              <w:rPr>
                <w:sz w:val="14"/>
                <w:szCs w:val="14"/>
                <w:color w:val="auto"/>
              </w:rPr>
            </w:pPr>
          </w:p>
        </w:tc>
        <w:tc>
          <w:tcPr>
            <w:tcW w:w="2180" w:type="dxa"/>
            <w:vAlign w:val="bottom"/>
            <w:gridSpan w:val="7"/>
          </w:tcPr>
          <w:p>
            <w:pPr>
              <w:ind w:left="80"/>
              <w:spacing w:after="0"/>
              <w:rPr>
                <w:sz w:val="20"/>
                <w:szCs w:val="20"/>
                <w:color w:val="auto"/>
              </w:rPr>
            </w:pPr>
            <w:r>
              <w:rPr>
                <w:rFonts w:ascii="Arial" w:cs="Arial" w:eastAsia="Arial" w:hAnsi="Arial"/>
                <w:sz w:val="14"/>
                <w:szCs w:val="14"/>
                <w:color w:val="auto"/>
                <w:w w:val="95"/>
              </w:rPr>
              <w:t>Nine months ended September 30,</w:t>
            </w:r>
          </w:p>
        </w:tc>
      </w:tr>
      <w:tr>
        <w:trPr>
          <w:trHeight w:val="142"/>
        </w:trPr>
        <w:tc>
          <w:tcPr>
            <w:tcW w:w="318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5"/>
                <w:szCs w:val="15"/>
                <w:color w:val="auto"/>
              </w:rPr>
              <w:t>(1)</w:t>
            </w: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250,244</w:t>
            </w:r>
          </w:p>
        </w:tc>
        <w:tc>
          <w:tcPr>
            <w:tcW w:w="4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International</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10,960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6,158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36,761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17,061</w:t>
            </w:r>
          </w:p>
        </w:tc>
      </w:tr>
      <w:tr>
        <w:trPr>
          <w:trHeight w:val="27"/>
        </w:trPr>
        <w:tc>
          <w:tcPr>
            <w:tcW w:w="3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87,007</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92,166</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276,902</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267,305</w:t>
            </w:r>
          </w:p>
        </w:tc>
      </w:tr>
    </w:tbl>
    <w:p>
      <w:pPr>
        <w:spacing w:after="0" w:line="229" w:lineRule="exact"/>
        <w:rPr>
          <w:sz w:val="20"/>
          <w:szCs w:val="20"/>
          <w:color w:val="auto"/>
        </w:rPr>
      </w:pPr>
    </w:p>
    <w:p>
      <w:pPr>
        <w:ind w:left="5344" w:right="4000" w:hanging="5344"/>
        <w:spacing w:after="0" w:line="449" w:lineRule="auto"/>
        <w:tabs>
          <w:tab w:leader="none" w:pos="438" w:val="left"/>
        </w:tabs>
        <w:numPr>
          <w:ilvl w:val="0"/>
          <w:numId w:val="2"/>
        </w:numPr>
        <w:rPr>
          <w:rFonts w:ascii="Arial" w:cs="Arial" w:eastAsia="Arial" w:hAnsi="Arial"/>
          <w:sz w:val="18"/>
          <w:szCs w:val="18"/>
          <w:color w:val="auto"/>
        </w:rPr>
      </w:pPr>
      <w:r>
        <w:rPr>
          <w:rFonts w:ascii="Arial" w:cs="Arial" w:eastAsia="Arial" w:hAnsi="Arial"/>
          <w:sz w:val="18"/>
          <w:szCs w:val="18"/>
          <w:color w:val="auto"/>
        </w:rPr>
        <w:t>Geographic location is presented as being derived from the U.S. when data is not available. F-10</w:t>
      </w:r>
    </w:p>
    <w:p>
      <w:pPr>
        <w:sectPr>
          <w:pgSz w:w="11900" w:h="16838" w:orient="portrait"/>
          <w:cols w:equalWidth="0" w:num="1">
            <w:col w:w="11004"/>
          </w:cols>
          <w:pgMar w:left="436" w:top="274" w:right="45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 assets, contract liabilities and other disclosures</w:t>
      </w:r>
    </w:p>
    <w:p>
      <w:pPr>
        <w:spacing w:after="0" w:line="117" w:lineRule="exact"/>
        <w:rPr>
          <w:sz w:val="20"/>
          <w:szCs w:val="20"/>
          <w:color w:val="auto"/>
        </w:rPr>
      </w:pPr>
    </w:p>
    <w:p>
      <w:pPr>
        <w:ind w:left="4" w:right="140"/>
        <w:spacing w:after="0" w:line="272" w:lineRule="auto"/>
        <w:rPr>
          <w:sz w:val="20"/>
          <w:szCs w:val="20"/>
          <w:color w:val="auto"/>
        </w:rPr>
      </w:pPr>
      <w:r>
        <w:rPr>
          <w:rFonts w:ascii="Arial" w:cs="Arial" w:eastAsia="Arial" w:hAnsi="Arial"/>
          <w:sz w:val="17"/>
          <w:szCs w:val="17"/>
          <w:color w:val="auto"/>
        </w:rPr>
        <w:t>Customer payments are based on the payment terms established in our contracts. Payments for purchase of virtual currency are required at time of purchase, are non-refundable and relate to non-cancellable contracts that specify our performance obligations. All payments are initially recorded as revenue, as the player has no right of return after the purchase, consistent with our standard terms and conditions. Based on our analysis, at each period end, we estimate the number of days to consume virtual currency. This represents the revenue amount where the performance obligation has not been met and is deferred as a contract liability until we satisfy the obligation. The contract asset consists of platform fees for which revenue has not been recognized. For subscription revenue, the remaining portion of the daily ratable monthly subscription is recorded as a contract liability and the applicable platform fees as a contract asset.</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summarized our opening and closing balances in contract assets and contract liabilities (in thousands):</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140" w:type="dxa"/>
            <w:vAlign w:val="bottom"/>
            <w:gridSpan w:val="3"/>
          </w:tcPr>
          <w:p>
            <w:pPr>
              <w:jc w:val="right"/>
              <w:ind w:right="960"/>
              <w:spacing w:after="0"/>
              <w:rPr>
                <w:sz w:val="20"/>
                <w:szCs w:val="20"/>
                <w:color w:val="auto"/>
              </w:rPr>
            </w:pPr>
            <w:r>
              <w:rPr>
                <w:rFonts w:ascii="Arial" w:cs="Arial" w:eastAsia="Arial" w:hAnsi="Arial"/>
                <w:sz w:val="14"/>
                <w:szCs w:val="14"/>
                <w:color w:val="auto"/>
                <w:w w:val="90"/>
              </w:rPr>
              <w:t>As of September 30,</w:t>
            </w:r>
          </w:p>
        </w:tc>
        <w:tc>
          <w:tcPr>
            <w:tcW w:w="1200" w:type="dxa"/>
            <w:vAlign w:val="bottom"/>
            <w:gridSpan w:val="3"/>
          </w:tcPr>
          <w:p>
            <w:pPr>
              <w:spacing w:after="0"/>
              <w:rPr>
                <w:sz w:val="20"/>
                <w:szCs w:val="20"/>
                <w:color w:val="auto"/>
              </w:rPr>
            </w:pPr>
            <w:r>
              <w:rPr>
                <w:rFonts w:ascii="Arial" w:cs="Arial" w:eastAsia="Arial" w:hAnsi="Arial"/>
                <w:sz w:val="14"/>
                <w:szCs w:val="14"/>
                <w:color w:val="auto"/>
                <w:w w:val="95"/>
              </w:rPr>
              <w:t>As of December 31,</w:t>
            </w:r>
          </w:p>
        </w:tc>
      </w:tr>
      <w:tr>
        <w:trPr>
          <w:trHeight w:val="167"/>
        </w:trPr>
        <w:tc>
          <w:tcPr>
            <w:tcW w:w="50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2021</w:t>
            </w:r>
          </w:p>
        </w:tc>
        <w:tc>
          <w:tcPr>
            <w:tcW w:w="9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r>
              <w:rPr>
                <w:rFonts w:ascii="Arial" w:cs="Arial" w:eastAsia="Arial" w:hAnsi="Arial"/>
                <w:sz w:val="15"/>
                <w:szCs w:val="15"/>
                <w:color w:val="auto"/>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0" w:type="dxa"/>
            <w:vAlign w:val="bottom"/>
            <w:shd w:val="clear" w:color="auto" w:fill="CCEEFF"/>
          </w:tcPr>
          <w:p>
            <w:pPr>
              <w:spacing w:after="0"/>
              <w:rPr>
                <w:sz w:val="18"/>
                <w:szCs w:val="18"/>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0"/>
                <w:szCs w:val="20"/>
                <w:color w:val="auto"/>
              </w:rPr>
            </w:pP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1,546</w:t>
            </w:r>
          </w:p>
        </w:tc>
        <w:tc>
          <w:tcPr>
            <w:tcW w:w="2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2,393</w:t>
            </w:r>
          </w:p>
        </w:tc>
      </w:tr>
    </w:tbl>
    <w:p>
      <w:pPr>
        <w:spacing w:after="0" w:line="214"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i w:val="1"/>
          <w:iCs w:val="1"/>
          <w:color w:val="auto"/>
        </w:rPr>
        <w:t>Contract assets are included within prepaid expenses and other current assets in our condensed consolidated balance sheets.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 3: Goodwill and intangible assets</w:t>
      </w:r>
    </w:p>
    <w:p>
      <w:pPr>
        <w:spacing w:after="0" w:line="117"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There were no changes to the carrying amount of goodwill in the three months ended September 30, 2021. Changes in the carrying amount of intangible assets were as follows: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4"/>
              </w:rPr>
              <w:t>Useful Lives</w:t>
            </w: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center"/>
              <w:ind w:left="436"/>
              <w:spacing w:after="0"/>
              <w:rPr>
                <w:sz w:val="20"/>
                <w:szCs w:val="20"/>
                <w:color w:val="auto"/>
              </w:rPr>
            </w:pPr>
            <w:r>
              <w:rPr>
                <w:rFonts w:ascii="Arial" w:cs="Arial" w:eastAsia="Arial" w:hAnsi="Arial"/>
                <w:sz w:val="14"/>
                <w:szCs w:val="14"/>
                <w:b w:val="1"/>
                <w:bCs w:val="1"/>
                <w:color w:val="auto"/>
                <w:w w:val="91"/>
              </w:rPr>
              <w:t>September 30, 2021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left="416"/>
              <w:spacing w:after="0"/>
              <w:rPr>
                <w:sz w:val="20"/>
                <w:szCs w:val="20"/>
                <w:color w:val="auto"/>
              </w:rPr>
            </w:pPr>
            <w:r>
              <w:rPr>
                <w:rFonts w:ascii="Arial" w:cs="Arial" w:eastAsia="Arial" w:hAnsi="Arial"/>
                <w:sz w:val="14"/>
                <w:szCs w:val="14"/>
                <w:b w:val="1"/>
                <w:bCs w:val="1"/>
                <w:color w:val="auto"/>
                <w:w w:val="91"/>
              </w:rPr>
              <w:t>December 31, 2020</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20"/>
              <w:spacing w:after="0" w:line="123" w:lineRule="exact"/>
              <w:rPr>
                <w:sz w:val="20"/>
                <w:szCs w:val="20"/>
                <w:color w:val="auto"/>
              </w:rPr>
            </w:pPr>
            <w:r>
              <w:rPr>
                <w:rFonts w:ascii="Arial" w:cs="Arial" w:eastAsia="Arial" w:hAnsi="Arial"/>
                <w:sz w:val="14"/>
                <w:szCs w:val="14"/>
                <w:color w:val="auto"/>
                <w:w w:val="90"/>
              </w:rPr>
              <w:t>Gross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41"/>
              <w:spacing w:after="0" w:line="123" w:lineRule="exact"/>
              <w:rPr>
                <w:sz w:val="20"/>
                <w:szCs w:val="20"/>
                <w:color w:val="auto"/>
              </w:rPr>
            </w:pPr>
            <w:r>
              <w:rPr>
                <w:rFonts w:ascii="Arial" w:cs="Arial" w:eastAsia="Arial" w:hAnsi="Arial"/>
                <w:sz w:val="14"/>
                <w:szCs w:val="14"/>
                <w:color w:val="auto"/>
                <w:w w:val="98"/>
              </w:rPr>
              <w:t>Accum.</w:t>
            </w:r>
          </w:p>
        </w:tc>
        <w:tc>
          <w:tcPr>
            <w:tcW w:w="60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340"/>
              <w:spacing w:after="0" w:line="123" w:lineRule="exact"/>
              <w:rPr>
                <w:sz w:val="20"/>
                <w:szCs w:val="20"/>
                <w:color w:val="auto"/>
              </w:rPr>
            </w:pPr>
            <w:r>
              <w:rPr>
                <w:rFonts w:ascii="Arial" w:cs="Arial" w:eastAsia="Arial" w:hAnsi="Arial"/>
                <w:sz w:val="14"/>
                <w:szCs w:val="14"/>
                <w:color w:val="auto"/>
              </w:rPr>
              <w:t>Gross</w:t>
            </w:r>
          </w:p>
        </w:tc>
        <w:tc>
          <w:tcPr>
            <w:tcW w:w="100" w:type="dxa"/>
            <w:vAlign w:val="bottom"/>
          </w:tcPr>
          <w:p>
            <w:pPr>
              <w:spacing w:after="0"/>
              <w:rPr>
                <w:sz w:val="10"/>
                <w:szCs w:val="10"/>
                <w:color w:val="auto"/>
              </w:rPr>
            </w:pPr>
          </w:p>
        </w:tc>
        <w:tc>
          <w:tcPr>
            <w:tcW w:w="860" w:type="dxa"/>
            <w:vAlign w:val="bottom"/>
            <w:gridSpan w:val="2"/>
          </w:tcPr>
          <w:p>
            <w:pPr>
              <w:jc w:val="center"/>
              <w:ind w:right="221"/>
              <w:spacing w:after="0" w:line="123" w:lineRule="exact"/>
              <w:rPr>
                <w:sz w:val="20"/>
                <w:szCs w:val="20"/>
                <w:color w:val="auto"/>
              </w:rPr>
            </w:pPr>
            <w:r>
              <w:rPr>
                <w:rFonts w:ascii="Arial" w:cs="Arial" w:eastAsia="Arial" w:hAnsi="Arial"/>
                <w:sz w:val="14"/>
                <w:szCs w:val="14"/>
                <w:color w:val="auto"/>
                <w:w w:val="94"/>
              </w:rPr>
              <w:t>Accum.</w:t>
            </w:r>
          </w:p>
        </w:tc>
        <w:tc>
          <w:tcPr>
            <w:tcW w:w="60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(in years)</w:t>
            </w:r>
          </w:p>
        </w:tc>
        <w:tc>
          <w:tcPr>
            <w:tcW w:w="1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1"/>
              <w:spacing w:after="0"/>
              <w:rPr>
                <w:sz w:val="20"/>
                <w:szCs w:val="20"/>
                <w:color w:val="auto"/>
              </w:rPr>
            </w:pPr>
            <w:r>
              <w:rPr>
                <w:rFonts w:ascii="Arial" w:cs="Arial" w:eastAsia="Arial" w:hAnsi="Arial"/>
                <w:sz w:val="14"/>
                <w:szCs w:val="14"/>
                <w:color w:val="auto"/>
                <w:w w:val="94"/>
              </w:rPr>
              <w:t>amort</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amount</w:t>
            </w: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amount</w:t>
            </w:r>
          </w:p>
        </w:tc>
        <w:tc>
          <w:tcPr>
            <w:tcW w:w="100" w:type="dxa"/>
            <w:vAlign w:val="bottom"/>
          </w:tcPr>
          <w:p>
            <w:pPr>
              <w:spacing w:after="0"/>
              <w:rPr>
                <w:sz w:val="14"/>
                <w:szCs w:val="14"/>
                <w:color w:val="auto"/>
              </w:rPr>
            </w:pPr>
          </w:p>
        </w:tc>
        <w:tc>
          <w:tcPr>
            <w:tcW w:w="860" w:type="dxa"/>
            <w:vAlign w:val="bottom"/>
            <w:gridSpan w:val="2"/>
          </w:tcPr>
          <w:p>
            <w:pPr>
              <w:jc w:val="center"/>
              <w:ind w:right="241"/>
              <w:spacing w:after="0"/>
              <w:rPr>
                <w:sz w:val="20"/>
                <w:szCs w:val="20"/>
                <w:color w:val="auto"/>
              </w:rPr>
            </w:pPr>
            <w:r>
              <w:rPr>
                <w:rFonts w:ascii="Arial" w:cs="Arial" w:eastAsia="Arial" w:hAnsi="Arial"/>
                <w:sz w:val="14"/>
                <w:szCs w:val="14"/>
                <w:color w:val="auto"/>
                <w:w w:val="94"/>
              </w:rPr>
              <w:t>amort</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amount</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indefinite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(75,000)</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(67,187)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(39,645)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(33,149)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Development costs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9,486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(9,486)</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(8,434)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(2,392)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(2,181)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182,324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(126,523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55,801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182,315</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(110,951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reflects amortization expense related to intangible assets included with depreciation and amortization:</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67"/>
        </w:trPr>
        <w:tc>
          <w:tcPr>
            <w:tcW w:w="3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20" w:type="dxa"/>
            <w:vAlign w:val="bottom"/>
            <w:gridSpan w:val="5"/>
          </w:tcPr>
          <w:p>
            <w:pPr>
              <w:ind w:left="60"/>
              <w:spacing w:after="0"/>
              <w:rPr>
                <w:sz w:val="20"/>
                <w:szCs w:val="20"/>
                <w:color w:val="auto"/>
              </w:rPr>
            </w:pPr>
            <w:r>
              <w:rPr>
                <w:rFonts w:ascii="Arial" w:cs="Arial" w:eastAsia="Arial" w:hAnsi="Arial"/>
                <w:sz w:val="14"/>
                <w:szCs w:val="14"/>
                <w:color w:val="auto"/>
              </w:rPr>
              <w:t>Three months ended September 30,</w:t>
            </w:r>
          </w:p>
        </w:tc>
        <w:tc>
          <w:tcPr>
            <w:tcW w:w="2280" w:type="dxa"/>
            <w:vAlign w:val="bottom"/>
            <w:gridSpan w:val="4"/>
          </w:tcPr>
          <w:p>
            <w:pPr>
              <w:ind w:left="120"/>
              <w:spacing w:after="0"/>
              <w:rPr>
                <w:sz w:val="20"/>
                <w:szCs w:val="20"/>
                <w:color w:val="auto"/>
              </w:rPr>
            </w:pPr>
            <w:r>
              <w:rPr>
                <w:rFonts w:ascii="Arial" w:cs="Arial" w:eastAsia="Arial" w:hAnsi="Arial"/>
                <w:sz w:val="14"/>
                <w:szCs w:val="14"/>
                <w:color w:val="auto"/>
                <w:w w:val="98"/>
              </w:rPr>
              <w:t>Nine months ended September 30,</w:t>
            </w:r>
          </w:p>
        </w:tc>
      </w:tr>
      <w:tr>
        <w:trPr>
          <w:trHeight w:val="142"/>
        </w:trPr>
        <w:tc>
          <w:tcPr>
            <w:tcW w:w="3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4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color w:val="auto"/>
              </w:rPr>
              <w:t>2020</w:t>
            </w:r>
          </w:p>
        </w:tc>
        <w:tc>
          <w:tcPr>
            <w:tcW w:w="260" w:type="dxa"/>
            <w:vAlign w:val="bottom"/>
          </w:tcPr>
          <w:p>
            <w:pPr>
              <w:spacing w:after="0"/>
              <w:rPr>
                <w:sz w:val="12"/>
                <w:szCs w:val="12"/>
                <w:color w:val="auto"/>
              </w:rPr>
            </w:pPr>
          </w:p>
        </w:tc>
        <w:tc>
          <w:tcPr>
            <w:tcW w:w="100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color w:val="auto"/>
              </w:rPr>
              <w:t>2021</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color w:val="auto"/>
              </w:rPr>
              <w:t>2020</w:t>
            </w:r>
          </w:p>
        </w:tc>
        <w:tc>
          <w:tcPr>
            <w:tcW w:w="40" w:type="dxa"/>
            <w:vAlign w:val="bottom"/>
          </w:tcPr>
          <w:p>
            <w:pPr>
              <w:spacing w:after="0"/>
              <w:rPr>
                <w:sz w:val="12"/>
                <w:szCs w:val="12"/>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$ 2.3 million</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$ 7.9 million</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$15.7 million</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$23.8 million</w:t>
            </w:r>
          </w:p>
        </w:tc>
        <w:tc>
          <w:tcPr>
            <w:tcW w:w="40" w:type="dxa"/>
            <w:vAlign w:val="bottom"/>
            <w:tcBorders>
              <w:top w:val="single" w:sz="8" w:color="CCEEFF"/>
            </w:tcBorders>
            <w:shd w:val="clear" w:color="auto" w:fill="CCEEFF"/>
          </w:tcPr>
          <w:p>
            <w:pPr>
              <w:spacing w:after="0"/>
              <w:rPr>
                <w:sz w:val="18"/>
                <w:szCs w:val="18"/>
                <w:color w:val="auto"/>
              </w:rPr>
            </w:pPr>
          </w:p>
        </w:tc>
      </w:tr>
      <w:tr>
        <w:trPr>
          <w:trHeight w:val="365"/>
        </w:trPr>
        <w:tc>
          <w:tcPr>
            <w:tcW w:w="3240" w:type="dxa"/>
            <w:vAlign w:val="bottom"/>
          </w:tcPr>
          <w:p>
            <w:pPr>
              <w:spacing w:after="0"/>
              <w:rPr>
                <w:sz w:val="24"/>
                <w:szCs w:val="24"/>
                <w:color w:val="auto"/>
              </w:rPr>
            </w:pPr>
          </w:p>
        </w:tc>
        <w:tc>
          <w:tcPr>
            <w:tcW w:w="3240" w:type="dxa"/>
            <w:vAlign w:val="bottom"/>
            <w:gridSpan w:val="3"/>
          </w:tcPr>
          <w:p>
            <w:pPr>
              <w:ind w:left="1660"/>
              <w:spacing w:after="0"/>
              <w:rPr>
                <w:sz w:val="20"/>
                <w:szCs w:val="20"/>
                <w:color w:val="auto"/>
              </w:rPr>
            </w:pPr>
            <w:r>
              <w:rPr>
                <w:rFonts w:ascii="Arial" w:cs="Arial" w:eastAsia="Arial" w:hAnsi="Arial"/>
                <w:sz w:val="18"/>
                <w:szCs w:val="18"/>
                <w:color w:val="auto"/>
              </w:rPr>
              <w:t>F-11</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4: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as of September 30, 2021 and December 31, 2020 are as follows (in thousands):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4"/>
                <w:szCs w:val="14"/>
                <w:color w:val="auto"/>
              </w:rPr>
              <w:t>As of</w:t>
            </w:r>
          </w:p>
        </w:tc>
        <w:tc>
          <w:tcPr>
            <w:tcW w:w="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As of</w:t>
            </w:r>
          </w:p>
        </w:tc>
      </w:tr>
      <w:tr>
        <w:trPr>
          <w:trHeight w:val="149"/>
        </w:trPr>
        <w:tc>
          <w:tcPr>
            <w:tcW w:w="4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w w:val="89"/>
              </w:rPr>
              <w:t>September 30,</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48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4.60% Senior Notes due to related party due 2024</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45,956</w:t>
            </w:r>
          </w:p>
        </w:tc>
        <w:tc>
          <w:tcPr>
            <w:tcW w:w="40" w:type="dxa"/>
            <w:vAlign w:val="bottom"/>
            <w:shd w:val="clear" w:color="auto" w:fill="CCEEFF"/>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1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42,198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45,956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debt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1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42,198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45,956</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Investment Agreement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2017, in connection with the acquisition of DDI-US, a Joint Investment Agreement was executed by DUG and STIC Special Situation Private Equity Fund (“STIC”). As part of consummating the Joint Investment Agreement, we also entered into a series of additional inter-related multiple element financing agreements with STIC, whereby we issued to STIC, pursuant to a subscription agreement, (i) aggregate principal amount KRW210 billion of 2.5% Convertible Bonds due 2024 (the “2.5% Convertible Bonds”), unless earlier redeemed or converted into 715,258 common shares at an initial conversion price of KRW293,600, subject to certain adjustments, and (ii) aggregate principal amount of KRW90 billion 2.5% Non-convertible Bonds due 2024 (the “2.5% Non-convertible Bonds”) with detachable warrants to purchase 306,540 common shares at an initial exercise price of KRW293,600per share, subject to certain adjustments. We collectively refer to the 2.5% Convertible Bonds and the 2.5% Non-convertible Bonds as the “Bonds.” See further discussion of the Bonds and the warrants, below.</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July 16, 2021, DoubleU Games entered into a second amendment to the Joint Investment Agreement with STIC which granted STIC the right to sell to DoubleU Games up to 214,577 shares of our common shares held by STIC at a price no less than the public offering price of this offering (the “DUG Private Purchase Agreement”). Pursuant to the DUG Private Purchase Agreement, if STIC elected to exercise such right, STIC had to deliver to DoubleU Games a written notice, which set forth the number of common shares that it intended to sell, within five (5) business days from the earlier of (a) the exercise date of the over-allotment option for this offering, or (b) the expiration of over-allotment option for this offering.</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With the completion of the initial public offering of DDI on September 1, 2021, all obligations under the Joint Investment Agreement were met and, as such, the agreement terminated.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Debt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4.60% Senior Notes due to related party due 2024</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entered into several loans with DoubleU Games as our lender in 2018 and 2019, and the aggregate principal amount of such outstanding loans, as of September 30, 2021, was KRW50 billion (US$42.2 million). These loans mature in 2024, subject to certain prepayment rights. Each loan has a fixed interest rate of 4.60% per annum, with a default interest rate of an additional 5.0% per annum. Interest accrues quarterly, commencing as of May 2019, and is due and payable in full upon maturity.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940"/>
          </w:cols>
          <w:pgMar w:left="440" w:top="274" w:right="51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2.5% Convertible Bonds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At various dates in May and September 2020, STIC, as holder of the 2.5% Convertible Bonds, exercised its right to convert all outstanding bonds into 715,258 common shares. In connection with these transactions, we paid STIC the accrued coupon interest of $0.9 million and the unpaid yield-to-maturity interest of $4.5 million was forfeited.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conversion of the 2.5% Convertible Bonds was in accordance with the original terms of the instruments and were not subject to an inducement offer to convert as the terms of the conversion were not modified. As a result, the carrying value of the 2.5% Convertible Bonds, plus the forfeited yield-to-maturity interest, net of related income tax effects was recorded to common shares and additional paid-in-capital with no gain or loss recognized.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2.5% Non-convertible Bonds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May 15, 2020, DUG exercised its call option right and simultaneously redeemed the 2.5% Non-convertible bonds as consideration to exercise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warrants into 306,539 shares of common stock. In connection with this transaction, we paid DUG the 2.5% accrued but unpaid coupon interest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$0.3 million and the unpaid yield-to-maturity interest of $1.9 million was forfeited and the remaining unaccreted bond discount eliminated.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the 2.5% Non-convertible Bonds with warrants, plus the forfeited yield-to-maturity interest, net of related income tax effects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to common shares and additional paid-in-capital with no gain or loss recognized.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Note 5: Fair value measurement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values of our accounts receivable, prepaid expenses and other current assets, accounts payable and accrued liabilities approximate their fair values due to the short-term nature of these instruments.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cash equivalents (Level 1 estimate) consist of money market funds and Korean market government bonds totaling $204.3 million and $61.1 million, as of September 30, 2021 and December 31, 2020, respectively.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2021, and December 31, 2020, we believe the fair value of our senior notes (Level 3 estimate) approximates carrying value due to the nature of the instruments and the lack of meaningful change to our credit profile.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Note 6: Income taxes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are subject to federal and state income taxes in the Korea and the United States. We account for our provision for income taxes in accordance with ASC 740, Income Taxes, which requires an estimate of the annual effective tax rate for the full year to be applied to the interim period, taking into account year-to-date amounts and projected results for the full year.</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effective tax rate varies from the statutory Korean income tax rate due to the effect of foreign rate differential, withholding taxes, state and local income taxes, FDII deduction, research and development credits, and a valuation allowance on Korean deferred tax assets. Our effective tax rate could fluctuate significantly from quarter to quarter based on variations in the estimated and actual level of pre-tax income or loss by jurisdiction, changes in enacted tax laws and regulations, and changes in estimates regarding non-deductible expenses and tax credits. As of September 30, 2021, and December 31, 2020, we have provided a valuation allowance against our net deferred tax assets that we believe, based on the weight of available evidence, are not more likely than not to be realized.</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effective tax rate of 23.9% for the three months ended September 30, 2021, is higher than the Korean statutory rate of 20%, primarily due to withholding taxes, foreign rate differential, state taxes, and a discrete valuation allowance increase of $0.4 million related to Korean tax attributes that are more likely than not expected to be realized. The effective tax rate of 21.6% for the nine months ended September 30, 2021, is higher than the Korean statutory rate of 20%, primarily due to foreign rate differential, withholding taxes, a valuation allowance on certain Korean tax attributes, offset by the benefit of a FDII deduction and research tax credits and also includes a discrete valuation allowance change of $2.3 million related to Korean tax attributes that are more likely than not expected to be realized.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0980"/>
          </w:cols>
          <w:pgMar w:left="440" w:top="274"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7: Net income per share</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Basic net income per share is computed by dividing net income by the weighted-average number of common shares outstanding for the period, without consideration for potentially dilutive securities. Diluted net income per share is computed by dividing net income by the weighted-average number of common shares and dilutive common share equivalents outstanding for the period determined using the treasury-stock and if-converted methods. Dilutive common share equivalents are comprised of warrants and shares issuable under our convertible debt arrangement described above.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calculation of basic and diluted net income per share (in thousands except share and per share amounts):</w:t>
      </w:r>
    </w:p>
    <w:p>
      <w:pPr>
        <w:spacing w:after="0" w:line="259" w:lineRule="exact"/>
        <w:rPr>
          <w:sz w:val="20"/>
          <w:szCs w:val="20"/>
          <w:color w:val="auto"/>
        </w:rPr>
      </w:pPr>
    </w:p>
    <w:tbl>
      <w:tblPr>
        <w:tblLayout w:type="fixed"/>
        <w:tblInd w:w="440" w:type="dxa"/>
        <w:tblCellMar>
          <w:top w:w="0" w:type="dxa"/>
          <w:left w:w="0" w:type="dxa"/>
          <w:bottom w:w="0" w:type="dxa"/>
          <w:right w:w="0" w:type="dxa"/>
        </w:tblCellMar>
      </w:tblPr>
      <w:tr>
        <w:trPr>
          <w:trHeight w:val="167"/>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6"/>
          </w:tcPr>
          <w:p>
            <w:pPr>
              <w:ind w:left="60"/>
              <w:spacing w:after="0"/>
              <w:rPr>
                <w:sz w:val="20"/>
                <w:szCs w:val="20"/>
                <w:color w:val="auto"/>
              </w:rPr>
            </w:pPr>
            <w:r>
              <w:rPr>
                <w:rFonts w:ascii="Arial" w:cs="Arial" w:eastAsia="Arial" w:hAnsi="Arial"/>
                <w:sz w:val="14"/>
                <w:szCs w:val="14"/>
                <w:color w:val="auto"/>
              </w:rPr>
              <w:t>Three months ended September 30,</w:t>
            </w:r>
          </w:p>
        </w:tc>
        <w:tc>
          <w:tcPr>
            <w:tcW w:w="140" w:type="dxa"/>
            <w:vAlign w:val="bottom"/>
          </w:tcPr>
          <w:p>
            <w:pPr>
              <w:spacing w:after="0"/>
              <w:rPr>
                <w:sz w:val="14"/>
                <w:szCs w:val="14"/>
                <w:color w:val="auto"/>
              </w:rPr>
            </w:pPr>
          </w:p>
        </w:tc>
        <w:tc>
          <w:tcPr>
            <w:tcW w:w="2280" w:type="dxa"/>
            <w:vAlign w:val="bottom"/>
            <w:gridSpan w:val="6"/>
          </w:tcPr>
          <w:p>
            <w:pPr>
              <w:ind w:left="60"/>
              <w:spacing w:after="0"/>
              <w:rPr>
                <w:sz w:val="20"/>
                <w:szCs w:val="20"/>
                <w:color w:val="auto"/>
              </w:rPr>
            </w:pPr>
            <w:r>
              <w:rPr>
                <w:rFonts w:ascii="Arial" w:cs="Arial" w:eastAsia="Arial" w:hAnsi="Arial"/>
                <w:sz w:val="14"/>
                <w:szCs w:val="14"/>
                <w:color w:val="auto"/>
              </w:rPr>
              <w:t>Nine months ended September 30,</w:t>
            </w:r>
          </w:p>
        </w:tc>
      </w:tr>
      <w:tr>
        <w:trPr>
          <w:trHeight w:val="142"/>
        </w:trPr>
        <w:tc>
          <w:tcPr>
            <w:tcW w:w="4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color w:val="auto"/>
              </w:rPr>
              <w:t>2020</w:t>
            </w:r>
          </w:p>
        </w:tc>
        <w:tc>
          <w:tcPr>
            <w:tcW w:w="5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income applicable to common shareholders - 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22,833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8,298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60,671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38,150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assumed conversion of convertible debt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income applicable to common shareholders – diluted</w:t>
            </w: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22,833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8,298</w:t>
            </w: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60,671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40,837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2,303,192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2,214,522</w:t>
            </w: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2,244,404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1,670,715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assumed conversion of convertible debt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593,298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Dilutive effect of assumed conversion of warrants</w:t>
            </w: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96,297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2,303,192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2,214,522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2,244,404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2,360,310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9.91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27.03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22.83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8: Leases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lessee for corporate office space in Seattle, Washington and Seoul, Korea. The lessor for our Seoul, Korea leases is our parent, DoubleU Games (see Note 11). Our leases have remaining terms of three to five years. We do not have any finance leases. Our total variable and short-term lease payments are immaterial for all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Seattle, Washington lease originated in July 2012 and consists of 49,375 square feet. The lease will expire in October 2024.</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February 2019, we executed new subleases with our parent, DUG, for 21,218 square feet of office space in Gangnam-gu, Seoul, Korea. The lease term will expire in September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and cash flow information related to operating leases is as follows (in thousands):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color w:val="auto"/>
              </w:rPr>
              <w:t>As of September 30,</w:t>
            </w:r>
          </w:p>
        </w:tc>
        <w:tc>
          <w:tcPr>
            <w:tcW w:w="1200" w:type="dxa"/>
            <w:vAlign w:val="bottom"/>
            <w:gridSpan w:val="3"/>
          </w:tcPr>
          <w:p>
            <w:pPr>
              <w:spacing w:after="0"/>
              <w:rPr>
                <w:sz w:val="20"/>
                <w:szCs w:val="20"/>
                <w:color w:val="auto"/>
              </w:rPr>
            </w:pPr>
            <w:r>
              <w:rPr>
                <w:rFonts w:ascii="Arial" w:cs="Arial" w:eastAsia="Arial" w:hAnsi="Arial"/>
                <w:sz w:val="14"/>
                <w:szCs w:val="14"/>
                <w:color w:val="auto"/>
                <w:w w:val="95"/>
              </w:rPr>
              <w:t>As of December 31,</w:t>
            </w:r>
          </w:p>
        </w:tc>
      </w:tr>
      <w:tr>
        <w:trPr>
          <w:trHeight w:val="167"/>
        </w:trPr>
        <w:tc>
          <w:tcPr>
            <w:tcW w:w="356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2021</w:t>
            </w:r>
          </w:p>
        </w:tc>
        <w:tc>
          <w:tcPr>
            <w:tcW w:w="8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40" w:type="dxa"/>
            <w:vAlign w:val="bottom"/>
            <w:shd w:val="clear" w:color="auto" w:fill="CCEEFF"/>
          </w:tcPr>
          <w:p>
            <w:pPr>
              <w:spacing w:after="0"/>
              <w:rPr>
                <w:sz w:val="18"/>
                <w:szCs w:val="18"/>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Accrued rent</w:t>
            </w:r>
          </w:p>
        </w:tc>
        <w:tc>
          <w:tcPr>
            <w:tcW w:w="1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40" w:type="dxa"/>
            <w:vAlign w:val="bottom"/>
          </w:tcPr>
          <w:p>
            <w:pPr>
              <w:spacing w:after="0"/>
              <w:rPr>
                <w:sz w:val="19"/>
                <w:szCs w:val="19"/>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right-of-use asset, net</w:t>
            </w:r>
          </w:p>
        </w:tc>
        <w:tc>
          <w:tcPr>
            <w:tcW w:w="184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7,644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Short-term operating lease liabilities</w:t>
            </w:r>
          </w:p>
        </w:tc>
        <w:tc>
          <w:tcPr>
            <w:tcW w:w="184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40"/>
              <w:spacing w:after="0"/>
              <w:rPr>
                <w:sz w:val="20"/>
                <w:szCs w:val="20"/>
                <w:color w:val="auto"/>
              </w:rPr>
            </w:pPr>
            <w:r>
              <w:rPr>
                <w:rFonts w:ascii="Arial" w:cs="Arial" w:eastAsia="Arial" w:hAnsi="Arial"/>
                <w:sz w:val="18"/>
                <w:szCs w:val="18"/>
                <w:color w:val="auto"/>
              </w:rPr>
              <w:t>3,036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84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5,410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7,831</w:t>
            </w:r>
          </w:p>
        </w:tc>
      </w:tr>
      <w:tr>
        <w:trPr>
          <w:trHeight w:val="224"/>
        </w:trPr>
        <w:tc>
          <w:tcPr>
            <w:tcW w:w="356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56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8,446</w:t>
            </w:r>
          </w:p>
        </w:tc>
        <w:tc>
          <w:tcPr>
            <w:tcW w:w="8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10,864</w:t>
            </w:r>
          </w:p>
        </w:tc>
        <w:tc>
          <w:tcPr>
            <w:tcW w:w="40" w:type="dxa"/>
            <w:vAlign w:val="bottom"/>
          </w:tcPr>
          <w:p>
            <w:pPr>
              <w:spacing w:after="0"/>
              <w:rPr>
                <w:sz w:val="19"/>
                <w:szCs w:val="19"/>
                <w:color w:val="auto"/>
              </w:rPr>
            </w:pPr>
          </w:p>
        </w:tc>
      </w:tr>
      <w:tr>
        <w:trPr>
          <w:trHeight w:val="364"/>
        </w:trPr>
        <w:tc>
          <w:tcPr>
            <w:tcW w:w="3560" w:type="dxa"/>
            <w:vAlign w:val="bottom"/>
          </w:tcPr>
          <w:p>
            <w:pPr>
              <w:spacing w:after="0"/>
              <w:rPr>
                <w:sz w:val="24"/>
                <w:szCs w:val="24"/>
                <w:color w:val="auto"/>
              </w:rPr>
            </w:pPr>
          </w:p>
        </w:tc>
        <w:tc>
          <w:tcPr>
            <w:tcW w:w="1840" w:type="dxa"/>
            <w:vAlign w:val="bottom"/>
            <w:gridSpan w:val="2"/>
          </w:tcPr>
          <w:p>
            <w:pPr>
              <w:ind w:left="460"/>
              <w:spacing w:after="0"/>
              <w:rPr>
                <w:sz w:val="20"/>
                <w:szCs w:val="20"/>
                <w:color w:val="auto"/>
              </w:rPr>
            </w:pPr>
            <w:r>
              <w:rPr>
                <w:rFonts w:ascii="Arial" w:cs="Arial" w:eastAsia="Arial" w:hAnsi="Arial"/>
                <w:sz w:val="18"/>
                <w:szCs w:val="18"/>
                <w:color w:val="auto"/>
              </w:rPr>
              <w:t>F-14</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80"/>
          </w:cols>
          <w:pgMar w:left="440" w:top="274" w:right="57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cash flow information related to leases was as follows (in thousands):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4"/>
                <w:szCs w:val="14"/>
                <w:color w:val="auto"/>
                <w:w w:val="94"/>
              </w:rPr>
              <w:t>Nine months</w:t>
            </w: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Nine months</w:t>
            </w:r>
          </w:p>
        </w:tc>
      </w:tr>
      <w:tr>
        <w:trPr>
          <w:trHeight w:val="148"/>
        </w:trPr>
        <w:tc>
          <w:tcPr>
            <w:tcW w:w="5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gridSpan w:val="3"/>
          </w:tcPr>
          <w:p>
            <w:pPr>
              <w:jc w:val="center"/>
              <w:ind w:right="740"/>
              <w:spacing w:after="0" w:line="149" w:lineRule="exact"/>
              <w:rPr>
                <w:sz w:val="20"/>
                <w:szCs w:val="20"/>
                <w:color w:val="auto"/>
              </w:rPr>
            </w:pPr>
            <w:r>
              <w:rPr>
                <w:rFonts w:ascii="Arial" w:cs="Arial" w:eastAsia="Arial" w:hAnsi="Arial"/>
                <w:sz w:val="14"/>
                <w:szCs w:val="14"/>
                <w:color w:val="auto"/>
                <w:w w:val="89"/>
              </w:rPr>
              <w:t>ended September</w:t>
            </w: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9"/>
              </w:rPr>
              <w:t>ended September</w:t>
            </w:r>
          </w:p>
        </w:tc>
      </w:tr>
      <w:tr>
        <w:trPr>
          <w:trHeight w:val="167"/>
        </w:trPr>
        <w:tc>
          <w:tcPr>
            <w:tcW w:w="5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w w:val="91"/>
              </w:rPr>
              <w:t>30, 2021</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w w:val="91"/>
              </w:rPr>
              <w:t>30, 2020</w:t>
            </w:r>
          </w:p>
        </w:tc>
        <w:tc>
          <w:tcPr>
            <w:tcW w:w="40" w:type="dxa"/>
            <w:vAlign w:val="bottom"/>
            <w:tcBorders>
              <w:bottom w:val="single" w:sz="8" w:color="CCEEFF"/>
            </w:tcBorders>
          </w:tcPr>
          <w:p>
            <w:pPr>
              <w:spacing w:after="0"/>
              <w:rPr>
                <w:sz w:val="14"/>
                <w:szCs w:val="14"/>
                <w:color w:val="auto"/>
              </w:rPr>
            </w:pPr>
          </w:p>
        </w:tc>
      </w:tr>
      <w:tr>
        <w:trPr>
          <w:trHeight w:val="182"/>
        </w:trPr>
        <w:tc>
          <w:tcPr>
            <w:tcW w:w="5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Cash paid for amounts included in the measurement of operating</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9: Accumulated other comprehensive income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accumulated other comprehensive income (“AOCI”) by component for the three and nine months ended September 30, 2021 and 2020 were as follows (in thousands):</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80" w:type="dxa"/>
            <w:vAlign w:val="bottom"/>
            <w:gridSpan w:val="2"/>
            <w:vMerge w:val="restart"/>
          </w:tcPr>
          <w:p>
            <w:pPr>
              <w:spacing w:after="0"/>
              <w:rPr>
                <w:sz w:val="20"/>
                <w:szCs w:val="20"/>
                <w:color w:val="auto"/>
              </w:rPr>
            </w:pPr>
            <w:r>
              <w:rPr>
                <w:rFonts w:ascii="Arial" w:cs="Arial" w:eastAsia="Arial" w:hAnsi="Arial"/>
                <w:sz w:val="14"/>
                <w:szCs w:val="14"/>
                <w:color w:val="auto"/>
                <w:w w:val="90"/>
              </w:rPr>
              <w:t>Three months ended September 30, 2020</w:t>
            </w:r>
          </w:p>
        </w:tc>
        <w:tc>
          <w:tcPr>
            <w:tcW w:w="150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580" w:type="dxa"/>
            <w:vAlign w:val="bottom"/>
            <w:gridSpan w:val="8"/>
          </w:tcPr>
          <w:p>
            <w:pPr>
              <w:jc w:val="right"/>
              <w:ind w:right="400"/>
              <w:spacing w:after="0"/>
              <w:rPr>
                <w:sz w:val="20"/>
                <w:szCs w:val="20"/>
                <w:color w:val="auto"/>
              </w:rPr>
            </w:pPr>
            <w:r>
              <w:rPr>
                <w:rFonts w:ascii="Arial" w:cs="Arial" w:eastAsia="Arial" w:hAnsi="Arial"/>
                <w:sz w:val="14"/>
                <w:szCs w:val="14"/>
                <w:color w:val="auto"/>
                <w:w w:val="92"/>
              </w:rPr>
              <w:t>Currency translation</w:t>
            </w:r>
          </w:p>
        </w:tc>
        <w:tc>
          <w:tcPr>
            <w:tcW w:w="1460" w:type="dxa"/>
            <w:vAlign w:val="bottom"/>
            <w:gridSpan w:val="6"/>
          </w:tcPr>
          <w:p>
            <w:pPr>
              <w:ind w:left="220"/>
              <w:spacing w:after="0"/>
              <w:rPr>
                <w:sz w:val="20"/>
                <w:szCs w:val="20"/>
                <w:color w:val="auto"/>
              </w:rPr>
            </w:pPr>
            <w:r>
              <w:rPr>
                <w:rFonts w:ascii="Arial" w:cs="Arial" w:eastAsia="Arial" w:hAnsi="Arial"/>
                <w:sz w:val="14"/>
                <w:szCs w:val="14"/>
                <w:color w:val="auto"/>
              </w:rPr>
              <w:t>Defined benefit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80" w:type="dxa"/>
            <w:vAlign w:val="bottom"/>
            <w:tcBorders>
              <w:bottom w:val="single" w:sz="8" w:color="auto"/>
            </w:tcBorders>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4"/>
          </w:tcPr>
          <w:p>
            <w:pPr>
              <w:jc w:val="right"/>
              <w:ind w:right="640"/>
              <w:spacing w:after="0" w:line="154" w:lineRule="exact"/>
              <w:rPr>
                <w:sz w:val="20"/>
                <w:szCs w:val="20"/>
                <w:color w:val="auto"/>
              </w:rPr>
            </w:pPr>
            <w:r>
              <w:rPr>
                <w:rFonts w:ascii="Arial" w:cs="Arial" w:eastAsia="Arial" w:hAnsi="Arial"/>
                <w:sz w:val="14"/>
                <w:szCs w:val="14"/>
                <w:color w:val="auto"/>
                <w:w w:val="92"/>
              </w:rPr>
              <w:t>adjustments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jc w:val="right"/>
              <w:ind w:right="440"/>
              <w:spacing w:after="0" w:line="154" w:lineRule="exact"/>
              <w:rPr>
                <w:sz w:val="20"/>
                <w:szCs w:val="20"/>
                <w:color w:val="auto"/>
              </w:rPr>
            </w:pPr>
            <w:r>
              <w:rPr>
                <w:rFonts w:ascii="Arial" w:cs="Arial" w:eastAsia="Arial" w:hAnsi="Arial"/>
                <w:sz w:val="14"/>
                <w:szCs w:val="14"/>
                <w:color w:val="auto"/>
                <w:w w:val="93"/>
              </w:rPr>
              <w:t>pension plan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Balance as of July 1,2020</w:t>
            </w:r>
          </w:p>
        </w:tc>
        <w:tc>
          <w:tcPr>
            <w:tcW w:w="1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26,657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(889)</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25,768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Foreign currency translation gain/(loss)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Actuarial gain/(loss), net of tax benefit of $70</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880" w:type="dxa"/>
            <w:vAlign w:val="bottom"/>
            <w:gridSpan w:val="3"/>
          </w:tcPr>
          <w:p>
            <w:pPr>
              <w:spacing w:after="0"/>
              <w:rPr>
                <w:sz w:val="20"/>
                <w:szCs w:val="20"/>
                <w:color w:val="auto"/>
              </w:rPr>
            </w:pPr>
            <w:r>
              <w:rPr>
                <w:rFonts w:ascii="Arial" w:cs="Arial" w:eastAsia="Arial" w:hAnsi="Arial"/>
                <w:sz w:val="18"/>
                <w:szCs w:val="18"/>
                <w:color w:val="auto"/>
              </w:rPr>
              <w:t>Balance as of September 30, 2020</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380" w:type="dxa"/>
            <w:vAlign w:val="bottom"/>
            <w:gridSpan w:val="2"/>
            <w:vMerge w:val="restart"/>
          </w:tcPr>
          <w:p>
            <w:pPr>
              <w:spacing w:after="0"/>
              <w:rPr>
                <w:sz w:val="20"/>
                <w:szCs w:val="20"/>
                <w:color w:val="auto"/>
              </w:rPr>
            </w:pPr>
            <w:r>
              <w:rPr>
                <w:rFonts w:ascii="Arial" w:cs="Arial" w:eastAsia="Arial" w:hAnsi="Arial"/>
                <w:sz w:val="14"/>
                <w:szCs w:val="14"/>
                <w:color w:val="auto"/>
                <w:w w:val="90"/>
              </w:rPr>
              <w:t>Three months ended September 30, 2021</w:t>
            </w:r>
          </w:p>
        </w:tc>
        <w:tc>
          <w:tcPr>
            <w:tcW w:w="1500" w:type="dxa"/>
            <w:vAlign w:val="bottom"/>
            <w:vMerge w:val="restart"/>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4"/>
                <w:szCs w:val="14"/>
                <w:color w:val="auto"/>
              </w:rPr>
              <w:t>Currency translation</w:t>
            </w:r>
          </w:p>
        </w:tc>
        <w:tc>
          <w:tcPr>
            <w:tcW w:w="220" w:type="dxa"/>
            <w:vAlign w:val="bottom"/>
          </w:tcPr>
          <w:p>
            <w:pPr>
              <w:spacing w:after="0"/>
              <w:rPr>
                <w:sz w:val="24"/>
                <w:szCs w:val="24"/>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color w:val="auto"/>
              </w:rPr>
              <w:t>Defined benefit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80" w:type="dxa"/>
            <w:vAlign w:val="bottom"/>
            <w:tcBorders>
              <w:bottom w:val="single" w:sz="8" w:color="auto"/>
            </w:tcBorders>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4"/>
          </w:tcPr>
          <w:p>
            <w:pPr>
              <w:jc w:val="right"/>
              <w:ind w:right="520"/>
              <w:spacing w:after="0" w:line="154" w:lineRule="exact"/>
              <w:rPr>
                <w:sz w:val="20"/>
                <w:szCs w:val="20"/>
                <w:color w:val="auto"/>
              </w:rPr>
            </w:pPr>
            <w:r>
              <w:rPr>
                <w:rFonts w:ascii="Arial" w:cs="Arial" w:eastAsia="Arial" w:hAnsi="Arial"/>
                <w:sz w:val="14"/>
                <w:szCs w:val="14"/>
                <w:color w:val="auto"/>
              </w:rPr>
              <w:t>adjustments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jc w:val="right"/>
              <w:ind w:right="380"/>
              <w:spacing w:after="0" w:line="154" w:lineRule="exact"/>
              <w:rPr>
                <w:sz w:val="20"/>
                <w:szCs w:val="20"/>
                <w:color w:val="auto"/>
              </w:rPr>
            </w:pPr>
            <w:r>
              <w:rPr>
                <w:rFonts w:ascii="Arial" w:cs="Arial" w:eastAsia="Arial" w:hAnsi="Arial"/>
                <w:sz w:val="14"/>
                <w:szCs w:val="14"/>
                <w:color w:val="auto"/>
              </w:rPr>
              <w:t>pension plan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Balance as of July 1, 2021</w:t>
            </w:r>
          </w:p>
        </w:tc>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3"/>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25,022</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(1,032)</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23,990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Foreign currency translation gain/(loss)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Actuarial gain/(loss), net of tax expense of $0</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880" w:type="dxa"/>
            <w:vAlign w:val="bottom"/>
            <w:gridSpan w:val="3"/>
          </w:tcPr>
          <w:p>
            <w:pPr>
              <w:spacing w:after="0"/>
              <w:rPr>
                <w:sz w:val="20"/>
                <w:szCs w:val="20"/>
                <w:color w:val="auto"/>
              </w:rPr>
            </w:pPr>
            <w:r>
              <w:rPr>
                <w:rFonts w:ascii="Arial" w:cs="Arial" w:eastAsia="Arial" w:hAnsi="Arial"/>
                <w:sz w:val="18"/>
                <w:szCs w:val="18"/>
                <w:color w:val="auto"/>
              </w:rPr>
              <w:t>Balance as of September 30, 2021</w:t>
            </w:r>
          </w:p>
        </w:tc>
        <w:tc>
          <w:tcPr>
            <w:tcW w:w="13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24,222</w:t>
            </w:r>
          </w:p>
        </w:tc>
        <w:tc>
          <w:tcPr>
            <w:tcW w:w="2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320" w:type="dxa"/>
            <w:vAlign w:val="bottom"/>
            <w:vMerge w:val="restart"/>
          </w:tcPr>
          <w:p>
            <w:pPr>
              <w:spacing w:after="0"/>
              <w:rPr>
                <w:sz w:val="20"/>
                <w:szCs w:val="20"/>
                <w:color w:val="auto"/>
              </w:rPr>
            </w:pPr>
            <w:r>
              <w:rPr>
                <w:rFonts w:ascii="Arial" w:cs="Arial" w:eastAsia="Arial" w:hAnsi="Arial"/>
                <w:sz w:val="14"/>
                <w:szCs w:val="14"/>
                <w:color w:val="auto"/>
                <w:w w:val="91"/>
              </w:rPr>
              <w:t>Nine months ended September 30, 2020</w:t>
            </w:r>
          </w:p>
        </w:tc>
        <w:tc>
          <w:tcPr>
            <w:tcW w:w="1560" w:type="dxa"/>
            <w:vAlign w:val="bottom"/>
            <w:gridSpan w:val="2"/>
            <w:vMerge w:val="restart"/>
          </w:tcPr>
          <w:p>
            <w:pPr>
              <w:spacing w:after="0"/>
              <w:rPr>
                <w:sz w:val="24"/>
                <w:szCs w:val="24"/>
                <w:color w:val="auto"/>
              </w:rPr>
            </w:pPr>
          </w:p>
        </w:tc>
        <w:tc>
          <w:tcPr>
            <w:tcW w:w="2960" w:type="dxa"/>
            <w:vAlign w:val="bottom"/>
            <w:gridSpan w:val="9"/>
          </w:tcPr>
          <w:p>
            <w:pPr>
              <w:jc w:val="right"/>
              <w:ind w:right="400"/>
              <w:spacing w:after="0"/>
              <w:rPr>
                <w:sz w:val="20"/>
                <w:szCs w:val="20"/>
                <w:color w:val="auto"/>
              </w:rPr>
            </w:pPr>
            <w:r>
              <w:rPr>
                <w:rFonts w:ascii="Arial" w:cs="Arial" w:eastAsia="Arial" w:hAnsi="Arial"/>
                <w:sz w:val="14"/>
                <w:szCs w:val="14"/>
                <w:color w:val="auto"/>
              </w:rPr>
              <w:t>Currency translation</w:t>
            </w:r>
          </w:p>
        </w:tc>
        <w:tc>
          <w:tcPr>
            <w:tcW w:w="1460" w:type="dxa"/>
            <w:vAlign w:val="bottom"/>
            <w:gridSpan w:val="6"/>
          </w:tcPr>
          <w:p>
            <w:pPr>
              <w:ind w:left="220"/>
              <w:spacing w:after="0"/>
              <w:rPr>
                <w:sz w:val="20"/>
                <w:szCs w:val="20"/>
                <w:color w:val="auto"/>
              </w:rPr>
            </w:pPr>
            <w:r>
              <w:rPr>
                <w:rFonts w:ascii="Arial" w:cs="Arial" w:eastAsia="Arial" w:hAnsi="Arial"/>
                <w:sz w:val="14"/>
                <w:szCs w:val="14"/>
                <w:color w:val="auto"/>
              </w:rPr>
              <w:t>Defined benefit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20" w:type="dxa"/>
            <w:vAlign w:val="bottom"/>
            <w:tcBorders>
              <w:bottom w:val="single" w:sz="8" w:color="auto"/>
            </w:tcBorders>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4"/>
          </w:tcPr>
          <w:p>
            <w:pPr>
              <w:jc w:val="right"/>
              <w:ind w:right="660"/>
              <w:spacing w:after="0" w:line="154" w:lineRule="exact"/>
              <w:rPr>
                <w:sz w:val="20"/>
                <w:szCs w:val="20"/>
                <w:color w:val="auto"/>
              </w:rPr>
            </w:pPr>
            <w:r>
              <w:rPr>
                <w:rFonts w:ascii="Arial" w:cs="Arial" w:eastAsia="Arial" w:hAnsi="Arial"/>
                <w:sz w:val="14"/>
                <w:szCs w:val="14"/>
                <w:color w:val="auto"/>
                <w:w w:val="90"/>
              </w:rPr>
              <w:t>adjustments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jc w:val="right"/>
              <w:ind w:right="440"/>
              <w:spacing w:after="0" w:line="154" w:lineRule="exact"/>
              <w:rPr>
                <w:sz w:val="20"/>
                <w:szCs w:val="20"/>
                <w:color w:val="auto"/>
              </w:rPr>
            </w:pPr>
            <w:r>
              <w:rPr>
                <w:rFonts w:ascii="Arial" w:cs="Arial" w:eastAsia="Arial" w:hAnsi="Arial"/>
                <w:sz w:val="14"/>
                <w:szCs w:val="14"/>
                <w:color w:val="auto"/>
                <w:w w:val="93"/>
              </w:rPr>
              <w:t>pension plan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1,2020</w:t>
            </w:r>
          </w:p>
        </w:tc>
        <w:tc>
          <w:tcPr>
            <w:tcW w:w="1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10,131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(698)</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9,433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Foreign currency translation gain/(loss)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Actuarial gain/(loss), net of tax of $0</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3880" w:type="dxa"/>
            <w:vAlign w:val="bottom"/>
            <w:gridSpan w:val="3"/>
          </w:tcPr>
          <w:p>
            <w:pPr>
              <w:spacing w:after="0"/>
              <w:rPr>
                <w:sz w:val="20"/>
                <w:szCs w:val="20"/>
                <w:color w:val="auto"/>
              </w:rPr>
            </w:pPr>
            <w:r>
              <w:rPr>
                <w:rFonts w:ascii="Arial" w:cs="Arial" w:eastAsia="Arial" w:hAnsi="Arial"/>
                <w:sz w:val="18"/>
                <w:szCs w:val="18"/>
                <w:color w:val="auto"/>
              </w:rPr>
              <w:t>Balance as of September 30, 2020</w:t>
            </w:r>
          </w:p>
        </w:tc>
        <w:tc>
          <w:tcPr>
            <w:tcW w:w="13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gridSpan w:val="5"/>
          </w:tcPr>
          <w:p>
            <w:pPr>
              <w:ind w:left="580"/>
              <w:spacing w:after="0"/>
              <w:rPr>
                <w:sz w:val="20"/>
                <w:szCs w:val="20"/>
                <w:color w:val="auto"/>
              </w:rPr>
            </w:pPr>
            <w:r>
              <w:rPr>
                <w:rFonts w:ascii="Arial" w:cs="Arial" w:eastAsia="Arial" w:hAnsi="Arial"/>
                <w:sz w:val="18"/>
                <w:szCs w:val="18"/>
                <w:color w:val="auto"/>
              </w:rPr>
              <w:t>F-15</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4" w:right="51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161"/>
        </w:trPr>
        <w:tc>
          <w:tcPr>
            <w:tcW w:w="2320" w:type="dxa"/>
            <w:vAlign w:val="bottom"/>
            <w:vMerge w:val="restart"/>
          </w:tcPr>
          <w:p>
            <w:pPr>
              <w:spacing w:after="0"/>
              <w:rPr>
                <w:sz w:val="20"/>
                <w:szCs w:val="20"/>
                <w:color w:val="auto"/>
              </w:rPr>
            </w:pPr>
            <w:r>
              <w:rPr>
                <w:rFonts w:ascii="Arial" w:cs="Arial" w:eastAsia="Arial" w:hAnsi="Arial"/>
                <w:sz w:val="14"/>
                <w:szCs w:val="14"/>
                <w:color w:val="auto"/>
                <w:w w:val="91"/>
              </w:rPr>
              <w:t>Nine months ended September 30, 2021</w:t>
            </w:r>
          </w:p>
        </w:tc>
        <w:tc>
          <w:tcPr>
            <w:tcW w:w="3020" w:type="dxa"/>
            <w:vAlign w:val="bottom"/>
            <w:vMerge w:val="restart"/>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w w:val="92"/>
              </w:rPr>
              <w:t>Currency translation</w:t>
            </w:r>
          </w:p>
        </w:tc>
        <w:tc>
          <w:tcPr>
            <w:tcW w:w="1760" w:type="dxa"/>
            <w:vAlign w:val="bottom"/>
            <w:gridSpan w:val="4"/>
          </w:tcPr>
          <w:p>
            <w:pPr>
              <w:ind w:left="560"/>
              <w:spacing w:after="0"/>
              <w:rPr>
                <w:sz w:val="20"/>
                <w:szCs w:val="20"/>
                <w:color w:val="auto"/>
              </w:rPr>
            </w:pPr>
            <w:r>
              <w:rPr>
                <w:rFonts w:ascii="Arial" w:cs="Arial" w:eastAsia="Arial" w:hAnsi="Arial"/>
                <w:sz w:val="14"/>
                <w:szCs w:val="14"/>
                <w:color w:val="auto"/>
              </w:rPr>
              <w:t>Defined benefit</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2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74"/>
              <w:spacing w:after="0" w:line="154" w:lineRule="exact"/>
              <w:rPr>
                <w:sz w:val="20"/>
                <w:szCs w:val="20"/>
                <w:color w:val="auto"/>
              </w:rPr>
            </w:pPr>
            <w:r>
              <w:rPr>
                <w:rFonts w:ascii="Arial" w:cs="Arial" w:eastAsia="Arial" w:hAnsi="Arial"/>
                <w:sz w:val="14"/>
                <w:szCs w:val="14"/>
                <w:color w:val="auto"/>
                <w:w w:val="97"/>
              </w:rPr>
              <w:t>adjustments</w:t>
            </w:r>
          </w:p>
        </w:tc>
        <w:tc>
          <w:tcPr>
            <w:tcW w:w="560" w:type="dxa"/>
            <w:vAlign w:val="bottom"/>
          </w:tcPr>
          <w:p>
            <w:pPr>
              <w:spacing w:after="0"/>
              <w:rPr>
                <w:sz w:val="15"/>
                <w:szCs w:val="15"/>
                <w:color w:val="auto"/>
              </w:rPr>
            </w:pPr>
          </w:p>
        </w:tc>
        <w:tc>
          <w:tcPr>
            <w:tcW w:w="1200" w:type="dxa"/>
            <w:vAlign w:val="bottom"/>
            <w:gridSpan w:val="3"/>
          </w:tcPr>
          <w:p>
            <w:pPr>
              <w:jc w:val="right"/>
              <w:ind w:right="400"/>
              <w:spacing w:after="0" w:line="154" w:lineRule="exact"/>
              <w:rPr>
                <w:sz w:val="20"/>
                <w:szCs w:val="20"/>
                <w:color w:val="auto"/>
              </w:rPr>
            </w:pPr>
            <w:r>
              <w:rPr>
                <w:rFonts w:ascii="Arial" w:cs="Arial" w:eastAsia="Arial" w:hAnsi="Arial"/>
                <w:sz w:val="14"/>
                <w:szCs w:val="14"/>
                <w:color w:val="auto"/>
                <w:w w:val="98"/>
              </w:rPr>
              <w:t>pension plan</w:t>
            </w:r>
          </w:p>
        </w:tc>
        <w:tc>
          <w:tcPr>
            <w:tcW w:w="260" w:type="dxa"/>
            <w:vAlign w:val="bottom"/>
          </w:tcPr>
          <w:p>
            <w:pPr>
              <w:spacing w:after="0"/>
              <w:rPr>
                <w:sz w:val="15"/>
                <w:szCs w:val="15"/>
                <w:color w:val="auto"/>
              </w:rPr>
            </w:pPr>
          </w:p>
        </w:tc>
        <w:tc>
          <w:tcPr>
            <w:tcW w:w="70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2021</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23,807</w:t>
            </w: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(992)</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$22,815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Foreign currency translation gain/(loss)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gain/(loss), net of tax expense of $(14)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Balance as of September 30, 2021</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5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do not tax effect foreign currency translation gain/(loss) because we have determined such gain (loss) is permanently reinvested.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Note 10: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April 12, 2018, a class-action lawsuit was filed against DDI-US demanding a return of unfair benefit under the pretext that the Company’s social casino games are not legal in the State of Washington, United States. Similar class-action lawsuits were concurrently filed with certain of our competitors, certain of which, announced settlements which the court has recently approved.</w:t>
      </w:r>
    </w:p>
    <w:p>
      <w:pPr>
        <w:spacing w:after="0" w:line="18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August 2018, we filed a Motion to Compel Arbitration, which was denied and immediately appealed in December 2018. We were granted a Motion to Stay pending appeal in February 2019. In October 2019, a court date was issued and subsequently abated as the Ninth Circuit Appeals court hears the oral arguments and a resolution of appeal is determined in a similar case with one of our competitors. On January 29, 2020, the Ninth Circuit affirmed the District Court’s denial of arbitration, thereby denying our appeal to compel arbitration. The case is now in District Court. On June 17, 2020, we filed a motion in the United States District Court for the Western District of Washington, which, if granted, would certify certain questions of state law to the Washington State Supreme Court for interpretation in accordance with applicable state law. On August 11, 2020, the District Court denied DDI-US’s motion to certify certain questions to the Washington State Supreme Court. We subsequently filed a motion for reconsideration of this ruling. On August 13, 2020, DDI-US filed a motion to strike the plaintiffs’ nationwide class allegations, which was noted for consideration on October 2, 2020. On September 10, 2020, DDI-US filed a motion to dismiss under Fed. R. Civ P. 12 (B)(1) and a motion to abstain asking the District Court to stay this lawsuit pending the resolution of a Declaratory Judgment action filed by DDI-US (and IGT) in the Washington State Superior Court seeking a ruling on certain relevant issues under Washington state law, which was noted for consideration on October 2, 2020. No date for a hearing on these motions has been set. Additional discovery has continued, including but not limited to, our issuance of discovery to plaintiffs. On January 15, 2021, our motion for reconsideration was denied. On February 25, 2021, plaintiffs filed a motion for class certification and for preliminary injunction. On March 19, 2021, our motion to strike the nationwide class allegations was denied. Discovery in the federal court case has commenced and is continuing. On April 25, 2021, plaintiffs filed their Second Amended Complaint, changing their allegations to include an additional corporate entity of co-defendant, IGT. DDI-US served plaintiffs with its expert disclosures and filed an Opposition to Plaintiffs’ Motion for Class Certification and Preliminary Injunction on May 11, 2021. On June 29, 2021, the court denied the Company’s motion for the certification of an interlocutory appeal from the court’s order denying the Company’s Motion to Strike Nationwide Class Action Allegations. On July 9, 2021, Double Down moved for relief from the upcoming settlement deadline and dispositive motions deadline. On July 19, 2021, the court extended the discovery completion and settlement conference deadlines to August 24, 2021 and September 7, 2021, respectively, and struck all subsequent case management deadlines, including the dispositive motion deadline and the trial date. The court stated in its July 19, 2021 order that it would reset case management deadlines after various motions, including plaintiffs’ motion for class certification and preliminary injunction, and Double Down’s renewed motion to stay pending arbitration, have been decided. On August 19, 2021, plaintiffs filed a motion for sanctions and request for evidentiary hearing, regarding alleged spoliation of electronic documents by Double Down. Double Down disputes the allegations and has responded. The parties have filed various other motions and engaged in discovery, including depositions and expert discovery.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00"/>
          </w:cols>
          <w:pgMar w:left="440" w:top="257" w:right="459" w:bottom="1440" w:gutter="0" w:footer="0" w:header="0"/>
        </w:sectPr>
      </w:pPr>
    </w:p>
    <w:bookmarkStart w:id="26" w:name="page27"/>
    <w:bookmarkEnd w:id="26"/>
    <w:p>
      <w:pPr>
        <w:ind w:left="4"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IGT tendered its defense of the lawsuit to Double Down and sought indemnity for any damages from the lawsuit, based on various agreements associated with IGT’s sale of Double Down. Double Down had previously tendered its defense to IGT and sought indemnity from it. The parties entered into a standstill or tolling agreement, which expired on September 1, 2021, and was extended by agreement until October 1, 2021.</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case is subject to significant uncertainties. In determining the likelihood of a loss and/or the measurement of any loss or range of loss, we evaluated</w:t>
      </w:r>
    </w:p>
    <w:p>
      <w:pPr>
        <w:spacing w:after="0" w:line="46" w:lineRule="exact"/>
        <w:rPr>
          <w:sz w:val="20"/>
          <w:szCs w:val="20"/>
          <w:color w:val="auto"/>
        </w:rPr>
      </w:pPr>
    </w:p>
    <w:p>
      <w:pPr>
        <w:ind w:left="4" w:right="20" w:hanging="4"/>
        <w:spacing w:after="0" w:line="288" w:lineRule="auto"/>
        <w:tabs>
          <w:tab w:leader="none" w:pos="25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facts and circumstances known to us, including information regarding the likelihood of a settlement and the outcome of discussions relating to indemnification by co-defendants, (2) the current state of the proceedings, including outstanding motions for certification of a class, or denial thereof, and other relevant events and developments, (3) the advice and analyses of counsel and other advisors, and (4) the assumptions and judgment of management, all of which involve a series of complex judgments about potential future events with multiple outcomes. In accordance with ASC 450-20, the Company has recorded a charge to income for this loss contingency during the period ended June 30, 2021, which is included in General and Administrative Expenses, reflecting the low end of the reasonably possible range of loss of $3.5 million to $201.5 million. The Company will continue to evaluate the appropriateness of the amount recorded as the litigation proceeds over time, potentially resulting in a material adjustment thereto.</w:t>
      </w:r>
    </w:p>
    <w:p>
      <w:pPr>
        <w:spacing w:after="0" w:line="168"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NEXRF brought suit alleging patent infringement of certain patents for gaming applications used by defendants. The defendants were served with the lawsuit on January 8, 2021 and also filed a motion to stay discovery pending resolution of the motion to dismiss. During the pendency of the defendants’ motions, however, a federal court in Nevada issued an order invalidating the asserted patents on the basis of patent ineligibility. NEXRF has appealed this ruling to the Federal Circuit. The parties agreed to stay the litigation pending the outcome of NEXRF’s appeal of the Nevada decision. The case is now stayed, effective September 3, 2021.</w:t>
      </w:r>
    </w:p>
    <w:p>
      <w:pPr>
        <w:spacing w:after="0" w:line="188"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future outcome of these matters could be material to our operating results and cash flows in a future period. Legal costs associated with our legal proceedings are expensed as incurred.</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Publishing and license agreements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DoubleUGames</w:t>
      </w:r>
    </w:p>
    <w:p>
      <w:pPr>
        <w:spacing w:after="0" w:line="117"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We entered into the DoubleUGames License Agreement on March 7, 2018, and it was subsequently amended on July 1, 2019 and November 27, 2019. Pursuant to the DoubleUGames License Agreement, DoubleUGames grants us an exclusive license to develop and distribute certain DoubleUGames social casino game titles and sequels thereto in the social online game field of use. We are obligated to pay a royalty license fee to DoubleUGames in connection with these rights, with certain customary terms and conditions. The agreement remains in effect until either DUG no longer holds an interest, directly or indirectly, in DDI, or DDI no longer holds an interest, directly or indirectly, in DDI-US. In such event, the agreement provides that the parties will mutually renegotiate the terms of the agreement. As of September 30, 2021, we licensed approximately 42 game titles under the terms of this agreement.</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04"/>
          </w:cols>
          <w:pgMar w:left="436" w:top="274"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International Gaming Technologies (“IGT”)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2017, we entered a Game Development, Distribution, and Services agreement with IGT, and it was subsequently amended on January 1, 2019. Under the terms of the agreement, IGT will deliver game assets so that we can port (a process of converting the assets into functioning slot games by platform) the technology for inclusion in our gaming apps. The agreement includes game assets that are used to create new games. Under the agreement, we pay IGT a royalty rate of 7.5% of revenue for their proprietary assets and 15% of revenue for third-party game asset types. We also pay a monthly fee for porting. The initial term of the agreement is ten (10) years with up to two additional five-year periods. Costs incurred in connection with this agreement for the three and nine months ended September, 2020 and 2021 totaled $3.4 million, $10.5 million, $2.7 million and $8.7 million respectively, and are recognized as a component of cost of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Note 11: Related party transactions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related party transactions comprise expenses for use of intellectual property, borrowings, and facilities as previously described. We may also incur other expenses with related parties in the ordinary course of business, which are included in the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expenses charged by our parent, DUG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4"/>
                <w:szCs w:val="14"/>
                <w:color w:val="auto"/>
                <w:w w:val="95"/>
              </w:rPr>
              <w:t>Three months ended</w:t>
            </w:r>
          </w:p>
        </w:tc>
        <w:tc>
          <w:tcPr>
            <w:tcW w:w="220" w:type="dxa"/>
            <w:vAlign w:val="bottom"/>
          </w:tcPr>
          <w:p>
            <w:pPr>
              <w:spacing w:after="0"/>
              <w:rPr>
                <w:sz w:val="14"/>
                <w:szCs w:val="14"/>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4"/>
                <w:szCs w:val="14"/>
                <w:color w:val="auto"/>
              </w:rPr>
              <w:t>Nine months ended</w:t>
            </w: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gridSpan w:val="4"/>
          </w:tcPr>
          <w:p>
            <w:pPr>
              <w:jc w:val="right"/>
              <w:ind w:right="460"/>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4"/>
                <w:szCs w:val="14"/>
                <w:color w:val="auto"/>
              </w:rPr>
            </w:pPr>
          </w:p>
        </w:tc>
        <w:tc>
          <w:tcPr>
            <w:tcW w:w="1880" w:type="dxa"/>
            <w:vAlign w:val="bottom"/>
            <w:gridSpan w:val="4"/>
          </w:tcPr>
          <w:p>
            <w:pPr>
              <w:jc w:val="right"/>
              <w:ind w:right="740"/>
              <w:spacing w:after="0"/>
              <w:rPr>
                <w:sz w:val="20"/>
                <w:szCs w:val="20"/>
                <w:color w:val="auto"/>
              </w:rPr>
            </w:pPr>
            <w:r>
              <w:rPr>
                <w:rFonts w:ascii="Arial" w:cs="Arial" w:eastAsia="Arial" w:hAnsi="Arial"/>
                <w:sz w:val="14"/>
                <w:szCs w:val="14"/>
                <w:color w:val="auto"/>
              </w:rPr>
              <w:t>September 30,</w:t>
            </w:r>
          </w:p>
        </w:tc>
        <w:tc>
          <w:tcPr>
            <w:tcW w:w="3300" w:type="dxa"/>
            <w:vAlign w:val="bottom"/>
            <w:vMerge w:val="restart"/>
          </w:tcPr>
          <w:p>
            <w:pPr>
              <w:ind w:left="1080"/>
              <w:spacing w:after="0"/>
              <w:rPr>
                <w:sz w:val="20"/>
                <w:szCs w:val="20"/>
                <w:color w:val="auto"/>
              </w:rPr>
            </w:pPr>
            <w:r>
              <w:rPr>
                <w:rFonts w:ascii="Arial" w:cs="Arial" w:eastAsia="Arial" w:hAnsi="Arial"/>
                <w:sz w:val="14"/>
                <w:szCs w:val="14"/>
                <w:color w:val="auto"/>
              </w:rPr>
              <w:t>Financial Line Item</w:t>
            </w: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1920" w:type="dxa"/>
            <w:vAlign w:val="bottom"/>
            <w:gridSpan w:val="2"/>
          </w:tcPr>
          <w:p>
            <w:pPr>
              <w:jc w:val="right"/>
              <w:ind w:right="22"/>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4"/>
                <w:szCs w:val="14"/>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4"/>
                <w:szCs w:val="14"/>
                <w:color w:val="auto"/>
              </w:rPr>
              <w:t>2021</w:t>
            </w:r>
          </w:p>
        </w:tc>
        <w:tc>
          <w:tcPr>
            <w:tcW w:w="44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color w:val="auto"/>
              </w:rPr>
              <w:t>2020</w:t>
            </w:r>
          </w:p>
        </w:tc>
        <w:tc>
          <w:tcPr>
            <w:tcW w:w="440" w:type="dxa"/>
            <w:vAlign w:val="bottom"/>
          </w:tcPr>
          <w:p>
            <w:pPr>
              <w:spacing w:after="0"/>
              <w:rPr>
                <w:sz w:val="14"/>
                <w:szCs w:val="14"/>
                <w:color w:val="auto"/>
              </w:rPr>
            </w:pPr>
          </w:p>
        </w:tc>
        <w:tc>
          <w:tcPr>
            <w:tcW w:w="3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Royalty Expense</w:t>
            </w:r>
          </w:p>
        </w:tc>
        <w:tc>
          <w:tcPr>
            <w:tcW w:w="1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$1,168</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$ 1,866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$3,327</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$3,284</w:t>
            </w:r>
          </w:p>
        </w:tc>
        <w:tc>
          <w:tcPr>
            <w:tcW w:w="44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Interest Expense</w:t>
            </w:r>
          </w:p>
        </w:tc>
        <w:tc>
          <w:tcPr>
            <w:tcW w:w="2240" w:type="dxa"/>
            <w:vAlign w:val="bottom"/>
            <w:gridSpan w:val="3"/>
          </w:tcPr>
          <w:p>
            <w:pPr>
              <w:jc w:val="right"/>
              <w:ind w:right="320"/>
              <w:spacing w:after="0"/>
              <w:rPr>
                <w:sz w:val="20"/>
                <w:szCs w:val="20"/>
                <w:color w:val="auto"/>
              </w:rPr>
            </w:pPr>
            <w:r>
              <w:rPr>
                <w:rFonts w:ascii="Arial" w:cs="Arial" w:eastAsia="Arial" w:hAnsi="Arial"/>
                <w:sz w:val="18"/>
                <w:szCs w:val="18"/>
                <w:color w:val="auto"/>
              </w:rPr>
              <w:t>501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2,556</w:t>
            </w: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1,521</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4,437</w:t>
            </w:r>
          </w:p>
        </w:tc>
        <w:tc>
          <w:tcPr>
            <w:tcW w:w="3300" w:type="dxa"/>
            <w:vAlign w:val="bottom"/>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2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w:t>
            </w: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1,056</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2,209</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Other Expense</w:t>
            </w:r>
          </w:p>
        </w:tc>
        <w:tc>
          <w:tcPr>
            <w:tcW w:w="2240" w:type="dxa"/>
            <w:vAlign w:val="bottom"/>
            <w:gridSpan w:val="3"/>
          </w:tcPr>
          <w:p>
            <w:pPr>
              <w:jc w:val="right"/>
              <w:ind w:right="320"/>
              <w:spacing w:after="0"/>
              <w:rPr>
                <w:sz w:val="20"/>
                <w:szCs w:val="20"/>
                <w:color w:val="auto"/>
              </w:rPr>
            </w:pPr>
            <w:r>
              <w:rPr>
                <w:rFonts w:ascii="Arial" w:cs="Arial" w:eastAsia="Arial" w:hAnsi="Arial"/>
                <w:sz w:val="18"/>
                <w:szCs w:val="18"/>
                <w:color w:val="auto"/>
              </w:rPr>
              <w:t>39</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136</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33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our parent, DUG, are as follows (in thousands):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300" w:type="dxa"/>
            <w:vAlign w:val="bottom"/>
            <w:gridSpan w:val="3"/>
          </w:tcPr>
          <w:p>
            <w:pPr>
              <w:ind w:left="280"/>
              <w:spacing w:after="0"/>
              <w:rPr>
                <w:sz w:val="20"/>
                <w:szCs w:val="20"/>
                <w:color w:val="auto"/>
              </w:rPr>
            </w:pPr>
            <w:r>
              <w:rPr>
                <w:rFonts w:ascii="Arial" w:cs="Arial" w:eastAsia="Arial" w:hAnsi="Arial"/>
                <w:sz w:val="14"/>
                <w:szCs w:val="14"/>
                <w:color w:val="auto"/>
                <w:w w:val="91"/>
              </w:rPr>
              <w:t>At September 30,</w:t>
            </w:r>
          </w:p>
        </w:tc>
        <w:tc>
          <w:tcPr>
            <w:tcW w:w="1500" w:type="dxa"/>
            <w:vAlign w:val="bottom"/>
            <w:gridSpan w:val="3"/>
          </w:tcPr>
          <w:p>
            <w:pPr>
              <w:ind w:left="500"/>
              <w:spacing w:after="0"/>
              <w:rPr>
                <w:sz w:val="20"/>
                <w:szCs w:val="20"/>
                <w:color w:val="auto"/>
              </w:rPr>
            </w:pPr>
            <w:r>
              <w:rPr>
                <w:rFonts w:ascii="Arial" w:cs="Arial" w:eastAsia="Arial" w:hAnsi="Arial"/>
                <w:sz w:val="14"/>
                <w:szCs w:val="14"/>
                <w:color w:val="auto"/>
                <w:w w:val="93"/>
              </w:rPr>
              <w:t>At December 31,</w:t>
            </w:r>
          </w:p>
        </w:tc>
        <w:tc>
          <w:tcPr>
            <w:tcW w:w="500" w:type="dxa"/>
            <w:vAlign w:val="bottom"/>
          </w:tcPr>
          <w:p>
            <w:pPr>
              <w:spacing w:after="0"/>
              <w:rPr>
                <w:sz w:val="14"/>
                <w:szCs w:val="14"/>
                <w:color w:val="auto"/>
              </w:rPr>
            </w:pPr>
          </w:p>
        </w:tc>
        <w:tc>
          <w:tcPr>
            <w:tcW w:w="2960" w:type="dxa"/>
            <w:vAlign w:val="bottom"/>
            <w:vMerge w:val="restart"/>
          </w:tcPr>
          <w:p>
            <w:pPr>
              <w:ind w:left="640"/>
              <w:spacing w:after="0"/>
              <w:rPr>
                <w:sz w:val="20"/>
                <w:szCs w:val="20"/>
                <w:color w:val="auto"/>
              </w:rPr>
            </w:pPr>
            <w:r>
              <w:rPr>
                <w:rFonts w:ascii="Arial" w:cs="Arial" w:eastAsia="Arial" w:hAnsi="Arial"/>
                <w:sz w:val="14"/>
                <w:szCs w:val="14"/>
                <w:color w:val="auto"/>
              </w:rPr>
              <w:t>Financial statement line item</w:t>
            </w:r>
          </w:p>
        </w:tc>
        <w:tc>
          <w:tcPr>
            <w:tcW w:w="0" w:type="dxa"/>
            <w:vAlign w:val="bottom"/>
          </w:tcPr>
          <w:p>
            <w:pPr>
              <w:spacing w:after="0"/>
              <w:rPr>
                <w:sz w:val="1"/>
                <w:szCs w:val="1"/>
                <w:color w:val="auto"/>
              </w:rPr>
            </w:pPr>
          </w:p>
        </w:tc>
      </w:tr>
      <w:tr>
        <w:trPr>
          <w:trHeight w:val="167"/>
        </w:trPr>
        <w:tc>
          <w:tcPr>
            <w:tcW w:w="30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2020</w:t>
            </w:r>
          </w:p>
        </w:tc>
        <w:tc>
          <w:tcPr>
            <w:tcW w:w="500" w:type="dxa"/>
            <w:vAlign w:val="bottom"/>
            <w:tcBorders>
              <w:bottom w:val="single" w:sz="8" w:color="CCEEFF"/>
            </w:tcBorders>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4.6% Senior Note due related party</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45,956</w:t>
            </w:r>
          </w:p>
        </w:tc>
        <w:tc>
          <w:tcPr>
            <w:tcW w:w="5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2"/>
              </w:rPr>
              <w:t>Long-term borrowings with related party</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Royalties and 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3,631</w:t>
            </w:r>
          </w:p>
        </w:tc>
        <w:tc>
          <w:tcPr>
            <w:tcW w:w="3460" w:type="dxa"/>
            <w:vAlign w:val="bottom"/>
            <w:gridSpan w:val="2"/>
          </w:tcPr>
          <w:p>
            <w:pPr>
              <w:ind w:left="500"/>
              <w:spacing w:after="0"/>
              <w:rPr>
                <w:sz w:val="20"/>
                <w:szCs w:val="20"/>
                <w:color w:val="auto"/>
              </w:rPr>
            </w:pPr>
            <w:r>
              <w:rPr>
                <w:rFonts w:ascii="Arial" w:cs="Arial" w:eastAsia="Arial" w:hAnsi="Arial"/>
                <w:sz w:val="18"/>
                <w:szCs w:val="18"/>
                <w:color w:val="auto"/>
                <w:w w:val="89"/>
              </w:rPr>
              <w:t>Accounts payable and accrued expenses</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liability</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34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Short-term operating lease liabilities</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9"/>
              </w:rPr>
              <w:t>Accrued interest on related party note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5,968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4,918</w:t>
            </w:r>
          </w:p>
        </w:tc>
        <w:tc>
          <w:tcPr>
            <w:tcW w:w="3460" w:type="dxa"/>
            <w:vAlign w:val="bottom"/>
            <w:gridSpan w:val="2"/>
          </w:tcPr>
          <w:p>
            <w:pPr>
              <w:ind w:left="500"/>
              <w:spacing w:after="0"/>
              <w:rPr>
                <w:sz w:val="20"/>
                <w:szCs w:val="20"/>
                <w:color w:val="auto"/>
              </w:rPr>
            </w:pPr>
            <w:r>
              <w:rPr>
                <w:rFonts w:ascii="Arial" w:cs="Arial" w:eastAsia="Arial" w:hAnsi="Arial"/>
                <w:sz w:val="18"/>
                <w:szCs w:val="18"/>
                <w:color w:val="auto"/>
              </w:rPr>
              <w:t>Other non-current liabilities</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Long-term lease liability</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34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Long-term operating lease liabilities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12: Defined benefit pension plan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operate a defined benefit pension plan under employment regulations in Korea. The plan services the employees located in Seoul and is a final waged-based pension plan, which provides a specified amount of pension benefit based on length of service. The total benefit obligation of $3.1 million and $2.8 million was included in other non-current liabilities as of September 30, 2021 and December 31, 2020, respectively, and the change in actuarial gains or losses, which is not significant, was included in other comprehensive income. The plan is unfunded.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2021-11-12T05:52:38Z</dcterms:created>
  <dcterms:modified xsi:type="dcterms:W3CDTF">2021-11-12T05:52:38Z</dcterms:modified>
</cp:coreProperties>
</file>