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jc w:val="center"/>
        <w:ind w:right="-1000"/>
        <w:spacing w:after="0" w:line="181" w:lineRule="auto"/>
        <w:rPr>
          <w:sz w:val="20"/>
          <w:szCs w:val="20"/>
          <w:color w:val="auto"/>
        </w:rPr>
      </w:pPr>
      <w:r>
        <w:rPr>
          <w:rFonts w:ascii="Times New Roman" w:cs="Times New Roman" w:eastAsia="Times New Roman" w:hAnsi="Times New Roman"/>
          <w:sz w:val="18"/>
          <w:szCs w:val="18"/>
          <w:b w:val="1"/>
          <w:bCs w:val="1"/>
          <w:color w:val="auto"/>
        </w:rPr>
        <w:t>605 5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300</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+1-206-408-4545</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30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Changes in Registrant’s Certifying Accountant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Appointment of New Independent Registered Public Accounting Firm</w:t>
      </w:r>
    </w:p>
    <w:p>
      <w:pPr>
        <w:spacing w:after="0" w:line="119"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On February 14, 2023,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appointed Samil PricewaterhouseCoopers (“</w:t>
      </w:r>
      <w:r>
        <w:rPr>
          <w:rFonts w:ascii="Times New Roman" w:cs="Times New Roman" w:eastAsia="Times New Roman" w:hAnsi="Times New Roman"/>
          <w:sz w:val="18"/>
          <w:szCs w:val="18"/>
          <w:u w:val="single" w:color="auto"/>
          <w:color w:val="auto"/>
        </w:rPr>
        <w:t>PwC</w:t>
      </w:r>
      <w:r>
        <w:rPr>
          <w:rFonts w:ascii="Times New Roman" w:cs="Times New Roman" w:eastAsia="Times New Roman" w:hAnsi="Times New Roman"/>
          <w:sz w:val="18"/>
          <w:szCs w:val="18"/>
          <w:color w:val="auto"/>
        </w:rPr>
        <w:t>”) as the Company’s independent registered public accounting firm, upon the approval by the Audit Committee of the Board of Directors of the Company pursuant to the Korean law, to audit the Company’s consolidated financial statements as of and for the fiscal year ending December 31, 2023.</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decision was made in reference to the change in external auditor of DoubleU Games Co., Ltd., a Korean company and the controlling shareholder of the Company (“</w:t>
      </w:r>
      <w:r>
        <w:rPr>
          <w:rFonts w:ascii="Times New Roman" w:cs="Times New Roman" w:eastAsia="Times New Roman" w:hAnsi="Times New Roman"/>
          <w:sz w:val="18"/>
          <w:szCs w:val="18"/>
          <w:u w:val="single" w:color="auto"/>
          <w:color w:val="auto"/>
        </w:rPr>
        <w:t>DUG</w:t>
      </w:r>
      <w:r>
        <w:rPr>
          <w:rFonts w:ascii="Times New Roman" w:cs="Times New Roman" w:eastAsia="Times New Roman" w:hAnsi="Times New Roman"/>
          <w:sz w:val="18"/>
          <w:szCs w:val="18"/>
          <w:color w:val="auto"/>
        </w:rPr>
        <w:t>”), which was mandated by the Act on External Audit of Stock Companies of Korea and the related regulations thereunder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Pursuant to the Act, the Securities and Futures Commission of the Financial Services Commission of Korea has appointed PwC as the external auditor of DUG for the fiscal year ending December 31, 2023. As such, the Company has determined that it would be in the best interest of the Company to engage the same auditor as its independent registered public accounting firm.</w:t>
      </w:r>
    </w:p>
    <w:p>
      <w:pPr>
        <w:spacing w:after="0" w:line="183"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During the two fiscal years ended December 31, 2022, the Company has not consulted with PwC on any matters regarding the application of accounting principles to a specified transaction, either completed or proposed, the type of audit opinion that might be rendered on the Company’s financial statements, or any other matter that was the subject of a disagreement (as such term is used in Item 304(a)(1)(iv) of Regulation S-K and the related instructions to Item 304 of Regulation S-K) or a reportable event (as such term is used in Item 304(a)(1)(v) of Regulation S-K.</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Termination of Services of Independent Registered Public Accounting Firm</w:t>
      </w:r>
    </w:p>
    <w:p>
      <w:pPr>
        <w:spacing w:after="0" w:line="119"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As a result of the appointment of PwC, the Company dismissed Ernst &amp; Young LLP (“</w:t>
      </w:r>
      <w:r>
        <w:rPr>
          <w:rFonts w:ascii="Times New Roman" w:cs="Times New Roman" w:eastAsia="Times New Roman" w:hAnsi="Times New Roman"/>
          <w:sz w:val="18"/>
          <w:szCs w:val="18"/>
          <w:u w:val="single" w:color="auto"/>
          <w:color w:val="auto"/>
        </w:rPr>
        <w:t>EY</w:t>
      </w:r>
      <w:r>
        <w:rPr>
          <w:rFonts w:ascii="Times New Roman" w:cs="Times New Roman" w:eastAsia="Times New Roman" w:hAnsi="Times New Roman"/>
          <w:sz w:val="18"/>
          <w:szCs w:val="18"/>
          <w:color w:val="auto"/>
        </w:rPr>
        <w:t>”) as the independent registered public accounting firm of the Company for the fiscal year ending December 31, 2023.</w:t>
      </w:r>
    </w:p>
    <w:p>
      <w:pPr>
        <w:spacing w:after="0" w:line="162"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The termination of EY’s services will become effective upon the completion of EY’s audit of the Company’s financial statements for the fiscal year ended December 31, 2022 and the filing of the Company’s Annual Report on Form 20-F for the fiscal year ended December 31, 2022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80"/>
        <w:spacing w:after="0" w:line="270" w:lineRule="auto"/>
        <w:rPr>
          <w:sz w:val="20"/>
          <w:szCs w:val="20"/>
          <w:color w:val="auto"/>
        </w:rPr>
      </w:pPr>
      <w:r>
        <w:rPr>
          <w:rFonts w:ascii="Times New Roman" w:cs="Times New Roman" w:eastAsia="Times New Roman" w:hAnsi="Times New Roman"/>
          <w:sz w:val="17"/>
          <w:szCs w:val="17"/>
          <w:color w:val="auto"/>
        </w:rPr>
        <w:t>During the two fiscal years ended December 31, 2022, (i) there were no disagreements (as defined in Item 16F(a)(1)(iv) of Form 20-F and the related instructions) between the Company and EY on any matter of accounting principles or practices, financial statement disclosure or auditing scope or procedures, which disagreements, if not resolved to the satisfaction of EY, would have caused EY to make reference to the subject matter of such disagreement in connection with their report on the Company’s consolidated financial statements for the years ended December 31, 2021 and 2020, and</w:t>
      </w:r>
    </w:p>
    <w:p>
      <w:pPr>
        <w:spacing w:after="0" w:line="3" w:lineRule="exact"/>
        <w:rPr>
          <w:sz w:val="20"/>
          <w:szCs w:val="20"/>
          <w:color w:val="auto"/>
        </w:rPr>
      </w:pPr>
    </w:p>
    <w:p>
      <w:pPr>
        <w:ind w:left="4" w:right="60" w:hanging="4"/>
        <w:spacing w:after="0" w:line="253" w:lineRule="auto"/>
        <w:tabs>
          <w:tab w:leader="none" w:pos="2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“reportable events” (as described in Item 16F(a)(1)(v) of Form 20-F). The report of EY on the consolidated financial statements of the Company for the years ended December 31, 2021 and December 31, 2020, included in the Company’s annual report on Form 20-F for the year ended December 31, 2021, did not contain an adverse opinion or a disclaimer of opinion and were not qualified or modified as to uncertainty, audit scope or accounting principle.</w:t>
      </w:r>
    </w:p>
    <w:p>
      <w:pPr>
        <w:spacing w:after="0" w:line="189"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Company has furnished a copy of the disclosure in this Current Report on Form 6-K (this “</w:t>
      </w:r>
      <w:r>
        <w:rPr>
          <w:rFonts w:ascii="Times New Roman" w:cs="Times New Roman" w:eastAsia="Times New Roman" w:hAnsi="Times New Roman"/>
          <w:sz w:val="18"/>
          <w:szCs w:val="18"/>
          <w:u w:val="single" w:color="auto"/>
          <w:color w:val="auto"/>
        </w:rPr>
        <w:t>Form 6-K</w:t>
      </w:r>
      <w:r>
        <w:rPr>
          <w:rFonts w:ascii="Times New Roman" w:cs="Times New Roman" w:eastAsia="Times New Roman" w:hAnsi="Times New Roman"/>
          <w:sz w:val="18"/>
          <w:szCs w:val="18"/>
          <w:color w:val="auto"/>
        </w:rPr>
        <w:t>”) to EY, and has requested that EY furnish us with a letter addressed to the SEC stating whether such firm agrees with the above statements or, if not, stating the respects in which it does not agree. A copy of the letter is being furnished as Exhibit 16.1 to this Form 6-K.</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Issuance of Press Release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February 21, 2023, the Company issued a press release announcing the change in its independent registered public accounting firm.</w:t>
      </w:r>
    </w:p>
    <w:p>
      <w:pPr>
        <w:sectPr>
          <w:pgSz w:w="11900" w:h="16838" w:orient="portrait"/>
          <w:cols w:equalWidth="0" w:num="1">
            <w:col w:w="11004"/>
          </w:cols>
          <w:pgMar w:left="436" w:top="266" w:right="45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the press release is being furnished in this Form 6-K as Exhibits 99.1, pursuant to General Instruction B to the Form 6-K, and shall not be deemed to be “filed” for the purposes of Section 18 of the Securities Exchange Act of 1934, as amended, or otherwise subject to the liabilities of that section.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20" w:type="dxa"/>
            <w:vAlign w:val="bottom"/>
            <w:gridSpan w:val="3"/>
          </w:tcPr>
          <w:p>
            <w:pPr>
              <w:ind w:left="282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6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4220" w:type="dxa"/>
            <w:vAlign w:val="bottom"/>
            <w:gridSpan w:val="3"/>
          </w:tcPr>
          <w:p>
            <w:pPr>
              <w:spacing w:after="0"/>
              <w:rPr>
                <w:sz w:val="24"/>
                <w:szCs w:val="24"/>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620" w:type="dxa"/>
            <w:vAlign w:val="bottom"/>
          </w:tcPr>
          <w:p>
            <w:pPr>
              <w:spacing w:after="0"/>
              <w:rPr>
                <w:sz w:val="24"/>
                <w:szCs w:val="24"/>
                <w:color w:val="auto"/>
              </w:rPr>
            </w:pPr>
          </w:p>
        </w:tc>
        <w:tc>
          <w:tcPr>
            <w:tcW w:w="3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Letter of Ernst &amp; Young LLP, dated February 21, 2023</w:t>
            </w:r>
          </w:p>
        </w:tc>
        <w:tc>
          <w:tcPr>
            <w:tcW w:w="940" w:type="dxa"/>
            <w:vAlign w:val="bottom"/>
            <w:gridSpan w:val="2"/>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3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of the Company, dated February 21, 2023</w:t>
            </w:r>
          </w:p>
        </w:tc>
        <w:tc>
          <w:tcPr>
            <w:tcW w:w="920" w:type="dxa"/>
            <w:vAlign w:val="bottom"/>
          </w:tcPr>
          <w:p>
            <w:pPr>
              <w:spacing w:after="0"/>
              <w:rPr>
                <w:sz w:val="24"/>
                <w:szCs w:val="24"/>
                <w:color w:val="auto"/>
              </w:rPr>
            </w:pPr>
          </w:p>
        </w:tc>
      </w:tr>
    </w:tbl>
    <w:p>
      <w:pPr>
        <w:sectPr>
          <w:pgSz w:w="11900" w:h="16838" w:orient="portrait"/>
          <w:cols w:equalWidth="0" w:num="1">
            <w:col w:w="10720"/>
          </w:cols>
          <w:pgMar w:left="440" w:top="270" w:right="7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or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DOUBLEDOWN INTERACTIVE CO., LTD.</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2023</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Joseph A. Sigrist</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Joseph A. Sigrist</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3522980" cy="93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2298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DoubleDown Interactive Co.,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read the statements in the Form 6-K, dated February 21, 2023, of DoubleDown Interactive Co., Ltd. (the “Registrant”) and are in agreement with the statements contained in paragraphs four, five, six, and seven on page one of such Form 6-K. We have no basis to agree or disagree with other statements of the Registrant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Ernst &amp; Young LLP</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17015" cy="942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Announces Change in Independent Registered Public Accounting Firm</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SEATTLE, WASHINGTON — February 21, 2023 — DoubleDown Interactive Co., Ltd. (NASDAQ: DDI) (“DoubleDown” or the “Company”), a leading gaming company, delivering unique player experiences across a variety of genres, today announced that it has engaged Samil PricewaterhouseCoopers (“PwC”) as its independent registered public accounting firm for the fiscal year ending December 31, 2023, replacing Ernst &amp; Young LLP (“EY”).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decision was made in reference to the change in external auditor of DoubleU Games Co., Ltd., a Korean company and the controlling shareholder of the Company (“DUG”), which was mandated by the Act on External Audit of Stock Companies of Korea and the related regulations thereunder (collectively, the “Act”). Pursuant to the Act, the Securities and Futures Commission of the Financial Services Commission of Korea has appointed PwC as the external auditor of DUG for the fiscal year ending December 31, 2023. As such, the Company has determined that it would be in the best interest of the Company to engage the same auditor as its independent registered public accounting firm.</w:t>
      </w:r>
    </w:p>
    <w:p>
      <w:pPr>
        <w:spacing w:after="0" w:line="183"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termination of EY’s services will become effective upon the completion of EY’s audit of the Company’s financial statements for the fiscal year ended December 31, 2022 and the filing of the Company’s Annual Report on Form 20-F for the fiscal year ended December 31, 2022 with the U.S.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 xml:space="preserve">DoubleDown Interactive Co., Ltd. is a leading developer and publisher of digital games on mobile and web-based platforms. It is the creator of multi-format interactive entertainment experiences for casual players, bringing authentic Vegas entertainment to players around the world through an online social casino experience. DoubleDown’s flagship title, </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 has been a fan-favorite game on leading social and mobile platforms for years, entertaining millions of players worldwide with a lineup of classic and modern games.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https://www.doubledowninteractive.com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Cody Slach or Jeff Grampp,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1-949-574-3860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DDI@gatewayir.com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2023-02-21T20:20:55Z</dcterms:created>
  <dcterms:modified xsi:type="dcterms:W3CDTF">2023-02-21T20:20:55Z</dcterms:modified>
</cp:coreProperties>
</file>