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jc w:val="center"/>
        <w:ind w:right="-1000"/>
        <w:spacing w:after="0" w:line="181"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200</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+1-206-408-4545</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Issuance of Press Release</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March 11, 2025, DoubleDown Interactive Co., Ltd.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issued a press release announcing its participation in the upcoming (i) 37th Annual Roth Conference on March 18, 2025, and (ii) iAccess Alpha Virtual Best Ideas Spring Investment Conference on March 25 and March 26, 2025.</w:t>
      </w:r>
    </w:p>
    <w:p>
      <w:pPr>
        <w:spacing w:after="0" w:line="140"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The press release furnished in this report as Exhibit 99.1 shall not be deemed to be “filed” for the purposes of Section 18 of the Securities Exchange Act of 1934, as amended, or otherwise subject to the liabilities of that section, and shall not be deemed to be incorporated by reference into any filing of the Company under the Securities Act of 1933, as amended, or the Exchange Act, as amended, except to the extent specifically provided in such a filing.</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37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Press release of the Company, dated March 11, 2025</w:t>
            </w:r>
          </w:p>
        </w:tc>
        <w:tc>
          <w:tcPr>
            <w:tcW w:w="960" w:type="dxa"/>
            <w:vAlign w:val="bottom"/>
          </w:tcPr>
          <w:p>
            <w:pPr>
              <w:spacing w:after="0"/>
              <w:rPr>
                <w:sz w:val="24"/>
                <w:szCs w:val="24"/>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2025</w:t>
            </w:r>
          </w:p>
        </w:tc>
        <w:tc>
          <w:tcPr>
            <w:tcW w:w="7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A. Sigrist</w:t>
            </w:r>
          </w:p>
        </w:tc>
      </w:tr>
      <w:tr>
        <w:trPr>
          <w:trHeight w:val="191"/>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Joseph A. Sigrist</w:t>
            </w:r>
          </w:p>
        </w:tc>
      </w:tr>
      <w:tr>
        <w:trPr>
          <w:trHeight w:val="234"/>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9441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44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TO PARTICIPATE IN UPCOMING INVESTOR CONFERENCES</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SEOUL, KOREA – March 11, 2025 — DoubleDown Interactive (NASDAQ: DDI) (“</w:t>
      </w:r>
      <w:r>
        <w:rPr>
          <w:rFonts w:ascii="Times New Roman" w:cs="Times New Roman" w:eastAsia="Times New Roman" w:hAnsi="Times New Roman"/>
          <w:sz w:val="18"/>
          <w:szCs w:val="18"/>
          <w:u w:val="single" w:color="auto"/>
          <w:color w:val="auto"/>
        </w:rPr>
        <w:t>DoubleDown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leading developer and publisher of digital games on mobile and web-based platforms, announced today that Chief Financial Officer, Joe Sigrist, will participate in two upcoming institutional investor conferences: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37th Annual Roth Conference</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The Laguna Cliffs Marriot Resort &amp; Spa - Dana Point, CA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Tuesday, March 18,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 One-on-one meetings with institutional investors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iAccess Alpha Virtual Best Ideas Spring Investment Conference</w:t>
      </w:r>
    </w:p>
    <w:p>
      <w:pPr>
        <w:spacing w:after="0" w:line="135"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Virtual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Tuesday, March 25, 2025 and Wednesday, March 26,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w:t>
      </w:r>
    </w:p>
    <w:p>
      <w:pPr>
        <w:spacing w:after="0" w:line="130" w:lineRule="exact"/>
        <w:rPr>
          <w:rFonts w:ascii="Times New Roman" w:cs="Times New Roman" w:eastAsia="Times New Roman" w:hAnsi="Times New Roman"/>
          <w:sz w:val="18"/>
          <w:szCs w:val="18"/>
          <w:color w:val="auto"/>
        </w:rPr>
      </w:pPr>
    </w:p>
    <w:p>
      <w:pPr>
        <w:ind w:left="1420" w:right="600" w:hanging="331"/>
        <w:spacing w:after="0" w:line="224"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presentation on Tuesday, March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at 1:00 p.m. ET. A live webcast of the presentation will be available at: </w:t>
      </w:r>
      <w:r>
        <w:rPr>
          <w:rFonts w:ascii="Times New Roman" w:cs="Times New Roman" w:eastAsia="Times New Roman" w:hAnsi="Times New Roman"/>
          <w:sz w:val="18"/>
          <w:szCs w:val="18"/>
          <w:u w:val="single" w:color="auto"/>
          <w:color w:val="auto"/>
        </w:rPr>
        <w:t>https://ir.doubledowninteractive.com/news-events/events-presentations.</w:t>
      </w:r>
      <w:r>
        <w:rPr>
          <w:rFonts w:ascii="Times New Roman" w:cs="Times New Roman" w:eastAsia="Times New Roman" w:hAnsi="Times New Roman"/>
          <w:sz w:val="18"/>
          <w:szCs w:val="18"/>
          <w:color w:val="auto"/>
        </w:rPr>
        <w:t xml:space="preserve"> A replay of the webcast will be available in the same location.</w:t>
      </w:r>
    </w:p>
    <w:p>
      <w:pPr>
        <w:spacing w:after="0" w:line="10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One-on-one meetings with institutional investors on Wednesday, March 26</w:t>
      </w:r>
      <w:r>
        <w:rPr>
          <w:rFonts w:ascii="Times New Roman" w:cs="Times New Roman" w:eastAsia="Times New Roman" w:hAnsi="Times New Roman"/>
          <w:sz w:val="26"/>
          <w:szCs w:val="26"/>
          <w:color w:val="auto"/>
          <w:vertAlign w:val="superscript"/>
        </w:rPr>
        <w:t>th</w:t>
      </w:r>
    </w:p>
    <w:p>
      <w:pPr>
        <w:spacing w:after="0" w:line="58" w:lineRule="exact"/>
        <w:rPr>
          <w:rFonts w:ascii="Times New Roman" w:cs="Times New Roman" w:eastAsia="Times New Roman" w:hAnsi="Times New Roman"/>
          <w:sz w:val="18"/>
          <w:szCs w:val="18"/>
          <w:color w:val="auto"/>
        </w:rPr>
      </w:pPr>
    </w:p>
    <w:p>
      <w:pPr>
        <w:ind w:left="960" w:right="272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register and schedule a one-on-one meeting with DoubleDown, please visit the conference website </w:t>
      </w:r>
      <w:r>
        <w:rPr>
          <w:rFonts w:ascii="Times New Roman" w:cs="Times New Roman" w:eastAsia="Times New Roman" w:hAnsi="Times New Roman"/>
          <w:sz w:val="18"/>
          <w:szCs w:val="18"/>
          <w:u w:val="single" w:color="auto"/>
          <w:color w:val="auto"/>
        </w:rPr>
        <w:t>https://www.iaccessalpha.com/home.</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have questions about DoubleDown or are interested in conducting a conference call or meeting with management, please contact the company’s investor relations firm, JCIR, at (212) 835-8500 or via email at ddi@jcir.com.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DoubleDown Interactive Co., Ltd. is a leading developer and publisher of digital games on mobile and web-based platforms. We are the creators of multi-format interactive entertainment experiences for casual players, bringing authentic Vegas entertainment to players around the world through an online social casino experience. The Company’s flagship social casino title, DoubleDown Casino, has been a fan-favorite game on leading social and mobile platforms for years, entertaining millions of players worldwide with a lineup of classic and modern games. The Company’s subsidiary, SuprNation, also operates three real-money iGaming sites in Western Europe.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https://www.doubledowninteractive.com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728980"/>
                    </a:xfrm>
                    <a:prstGeom prst="rect">
                      <a:avLst/>
                    </a:prstGeom>
                    <a:noFill/>
                  </pic:spPr>
                </pic:pic>
              </a:graphicData>
            </a:graphic>
          </wp:anchor>
        </w:drawing>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Joseph Jaffoni or Richard Land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835-8500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DDI@jcir.com</w:t>
      </w:r>
    </w:p>
    <w:sectPr>
      <w:pgSz w:w="11900" w:h="16838" w:orient="portrait"/>
      <w:cols w:equalWidth="0" w:num="1">
        <w:col w:w="10019"/>
      </w:cols>
      <w:pgMar w:left="44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2025-03-11T10:11:03Z</dcterms:created>
  <dcterms:modified xsi:type="dcterms:W3CDTF">2025-03-11T10:11:03Z</dcterms:modified>
</cp:coreProperties>
</file>