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DoubleDown Interactive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0.05 common share, par value W10,000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25862B109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 Riley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209,320.60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209,320.60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209,320.60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1"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Form 6-K as filed with the U.S. Securities and Exchange Commission on November 12,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19,920.90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19,920.90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19,920.90</w:t>
      </w:r>
    </w:p>
    <w:p>
      <w:pPr>
        <w:sectPr>
          <w:pgSz w:w="11900" w:h="16871" w:orient="portrait"/>
          <w:cols w:equalWidth="0" w:num="1">
            <w:col w:w="11220"/>
          </w:cols>
          <w:pgMar w:left="320" w:top="166" w:right="3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Form 6-K as filed with the U.S. Securities and Exchange Commission on November 12,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189,399.80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189,399.80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189,399.80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Form 6-K as filed with the U.S. Securities and Exchange Commission on November 12, 2024.</w:t>
      </w:r>
    </w:p>
    <w:p>
      <w:pPr>
        <w:sectPr>
          <w:pgSz w:w="11900" w:h="16838" w:orient="portrait"/>
          <w:cols w:equalWidth="0" w:num="1">
            <w:col w:w="11220"/>
          </w:cols>
          <w:pgMar w:left="320" w:top="111"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20"/>
          </w:cols>
          <w:pgMar w:left="320" w:top="111" w:right="35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25862B109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Bryant R. Riley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89" w:right="359" w:bottom="7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209,320.60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209,320.60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222,485.60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89" w:right="359" w:bottom="73"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This percentage is based on 2,477,672 common shares outstanding according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Form 6-K as filed with the U.S. Securities and Exchange Commission on November 12,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DoubleDown Interactive Co.,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13F, Gangnam Finance Center, 152, Teheran-ro Gangnam-gu, Seoul, 06236, Republic of Korea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60" w:right="180" w:hanging="912"/>
        <w:spacing w:after="0" w:line="259"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Riley Financial, Inc., a Delaware corporation ("BRF"), B. Riley Securities, Inc., a Delaware corporation ("BRS"), BRF Investments, LLC, a Delaware limited liability company ("BRFI"), and Bryant R. Riley, an individual. Each of the foregoing is referred to as a "Reporting Person" and collectively as the "Reporting Persons."</w:t>
      </w:r>
    </w:p>
    <w:p>
      <w:pPr>
        <w:spacing w:after="0" w:line="1"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220"/>
          </w:cols>
          <w:pgMar w:left="320" w:top="189" w:right="359" w:bottom="73" w:gutter="0" w:footer="0" w:header="0"/>
          <w:type w:val="continuous"/>
        </w:sectPr>
      </w:pPr>
    </w:p>
    <w:bookmarkStart w:id="4" w:name="page5"/>
    <w:bookmarkEnd w:id="4"/>
    <w:p>
      <w:pPr>
        <w:ind w:left="920" w:right="1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BRF, BRS, BRFI and Bryant R. Riley is: 11100 Santa Monica Blvd. Suite 800 Los Angeles, CA 90025</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BRF, BRS and BRFI are organized under the laws of the State of Delaware. Bryant R. Riley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 each representing 0.05 common share, par value W10,000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25862B109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46" w:lineRule="auto"/>
        <w:rPr>
          <w:sz w:val="20"/>
          <w:szCs w:val="20"/>
          <w:color w:val="auto"/>
        </w:rPr>
      </w:pPr>
      <w:r>
        <w:rPr>
          <w:rFonts w:ascii="Times New Roman" w:cs="Times New Roman" w:eastAsia="Times New Roman" w:hAnsi="Times New Roman"/>
          <w:sz w:val="21"/>
          <w:szCs w:val="21"/>
          <w:color w:val="auto"/>
        </w:rPr>
        <w:t>As of the date hereof, BRS directly owned 398,417 ADS, which represent 19,920.9 Common Shares. As of the date hereof, BRFI directly owned 3,787,995 ADS, which represent 189,399.8 Common Shares. As of the date hereof, BRF as the parent company of BRS and BRFI may be deemed to have beneficially own 4,186,412 ADS, which represent 209,320.6 Common Shares. As of the date hereof, Bryant R. Riley may beneficially own 4,449,711 ADS, which represent 222,485.6 Common Shares, of which (a) 101,385 ADS, which represent 5,069.3 Common Shares,</w:t>
      </w:r>
    </w:p>
    <w:p>
      <w:pPr>
        <w:spacing w:after="0" w:line="1" w:lineRule="exact"/>
        <w:rPr>
          <w:sz w:val="20"/>
          <w:szCs w:val="20"/>
          <w:color w:val="auto"/>
        </w:rPr>
      </w:pPr>
    </w:p>
    <w:p>
      <w:pPr>
        <w:ind w:left="920" w:hanging="912"/>
        <w:spacing w:after="0" w:line="243"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held jointly by Bryant R. Riley and his spouse, (b) 33,338 ADS, which represent 1,666.9 Common Shares, are held as sole custodian for the benefit of Abigail Riley, (d) 34,638 ADS, which represent 1,731.9 Common Shares, are held as sole custodian for the benefit of Charlie Riley, (e) 33,338 ADS, which represent 1,666.9 Common Shares, are held as sole custodian for the benefit of Eloise Riley, (f) 60,600 ADS, which represent 3,030 Common Shares, are held as sole custodian for the benefit of Susan Riley, and (g) 4,186,412 ADS, which represent 209,320.6 Common Shares, are held directly by BRS and BRFI in the manner specified in the paragraph above. The ADS previously reported as being held by the Robert Antin Children Irrevocable Trust were transferred to a different entity and as such, Bryant R. Riley is no longer deemed to have voting or dispositive power over the ADS.</w:t>
      </w:r>
    </w:p>
    <w:p>
      <w:pPr>
        <w:spacing w:after="0" w:line="18"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1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BRS directly owned 0.8% of the outstanding Common Shares. As of the date hereof, BRFI directly owned 7.6% of the outstanding Common Shares. As of the date hereof, BRF as the parent company of BRS and BRFI may be deemed to have beneficially owned 8.4% of the outstanding Common Shares directly owned by</w:t>
      </w:r>
    </w:p>
    <w:p>
      <w:pPr>
        <w:spacing w:after="0" w:line="1" w:lineRule="exact"/>
        <w:rPr>
          <w:rFonts w:ascii="Times New Roman" w:cs="Times New Roman" w:eastAsia="Times New Roman" w:hAnsi="Times New Roman"/>
          <w:sz w:val="21"/>
          <w:szCs w:val="21"/>
          <w:color w:val="auto"/>
        </w:rPr>
      </w:pPr>
    </w:p>
    <w:p>
      <w:pPr>
        <w:ind w:left="920" w:right="60" w:hanging="912"/>
        <w:spacing w:after="0" w:line="213"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BRS and BRFI. As of the date hereof, Bryant R. Riley may beneficially own 9.0% of the outstanding Common Shares, including the Common Shares held directly by BRS and BRFI in the manner specified in the paragraph above. These percentages are based on a total of 2,477,672 Common Shares outstanding as disclosed in the Issuer's Form 6-K as filed with the Securities and Exchange Commission on November 12, 2024. The foregoing should not be construed as an admission by any Reporting Person as to beneficial ownership of any Common Shares owned by another Reporting Person. Each of the Reporting Persons disclaims beneficial ownership of the Common Shares that are not directly owned by such Reporting Person, except to the extent of their pecuniary interest therein. %</w:t>
      </w:r>
    </w:p>
    <w:p>
      <w:pPr>
        <w:spacing w:after="0" w:line="16"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 Items 5-9.</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80"/>
          </w:cols>
          <w:pgMar w:left="360" w:top="112" w:right="45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cover page Items 5-9.</w:t>
      </w:r>
    </w:p>
    <w:p>
      <w:pPr>
        <w:spacing w:after="0" w:line="287" w:lineRule="exact"/>
        <w:rPr>
          <w:sz w:val="20"/>
          <w:szCs w:val="20"/>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 Riley Financial, Inc.</w:t>
      </w:r>
    </w:p>
    <w:p>
      <w:pPr>
        <w:spacing w:after="0" w:line="152" w:lineRule="exact"/>
        <w:rPr>
          <w:sz w:val="20"/>
          <w:szCs w:val="20"/>
          <w:color w:val="auto"/>
        </w:rPr>
      </w:pPr>
    </w:p>
    <w:p>
      <w:pPr>
        <w:ind w:left="51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 Riley</w:t>
      </w:r>
    </w:p>
    <w:p>
      <w:pPr>
        <w:spacing w:after="0" w:line="4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Name/Title: Bryant R. Riley, Co-Chief Executive Officer</w:t>
      </w:r>
    </w:p>
    <w:p>
      <w:pPr>
        <w:spacing w:after="0" w:line="44" w:lineRule="exact"/>
        <w:rPr>
          <w:sz w:val="20"/>
          <w:szCs w:val="20"/>
          <w:color w:val="auto"/>
        </w:rPr>
      </w:pPr>
    </w:p>
    <w:p>
      <w:pPr>
        <w:ind w:left="514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B. Riley Securities, Inc.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Moore</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Andrew Moore, Chief Executive Officer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BRF Investments,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Ahn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Phillip Ahn, Authorized Signatory</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Bryant R. Riley</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Bryant R. Riley</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Bryant R. Riley</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2025-02-14T16:17:21Z</dcterms:created>
  <dcterms:modified xsi:type="dcterms:W3CDTF">2025-02-14T16:17:21Z</dcterms:modified>
</cp:coreProperties>
</file>