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May 2022</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001-39349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DoubleDown Interactive Co., Ltd.</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Joseph A. Sigrist, Chief Financial Officer</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 DoubleDown Interactive, LLC</w:t>
      </w:r>
    </w:p>
    <w:p>
      <w:pPr>
        <w:spacing w:after="0" w:line="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605 5</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Avenue, Suite 300</w:t>
      </w:r>
    </w:p>
    <w:p>
      <w:pPr>
        <w:spacing w:after="0" w:line="1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Seattle, WA 98104</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+1-206-408-4545</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w:t>
      </w:r>
    </w:p>
    <w:p>
      <w:pPr>
        <w:spacing w:after="0" w:line="24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ind w:left="3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FORM 6-K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Issuance of Press Release; Financial Statements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10, 2022, DoubleDown Interactive Co., Ltd. (the “</w:t>
      </w:r>
      <w:r>
        <w:rPr>
          <w:rFonts w:ascii="Arial" w:cs="Arial" w:eastAsia="Arial" w:hAnsi="Arial"/>
          <w:sz w:val="18"/>
          <w:szCs w:val="18"/>
          <w:u w:val="single" w:color="auto"/>
          <w:color w:val="auto"/>
        </w:rPr>
        <w:t>Company</w:t>
      </w:r>
      <w:r>
        <w:rPr>
          <w:rFonts w:ascii="Arial" w:cs="Arial" w:eastAsia="Arial" w:hAnsi="Arial"/>
          <w:sz w:val="18"/>
          <w:szCs w:val="18"/>
          <w:color w:val="auto"/>
        </w:rPr>
        <w:t>”) issued a press release announcing its preliminary unaudited financial results for the first quarter ended March 31, 2022.</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Such press release is being furnished in this report on Form 6-K as Exhibit 99.1 pursuant to General Instruction B to the Form 6-K, and shall not be deemed to be “filed” for the purposes of Section 18 of the Securities Exchange Act of 1934, as amended, or otherwise subject to the liabilities of that section.</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160" w:type="dxa"/>
            <w:vAlign w:val="bottom"/>
            <w:gridSpan w:val="2"/>
          </w:tcPr>
          <w:p>
            <w:pPr>
              <w:ind w:left="2760"/>
              <w:spacing w:after="0"/>
              <w:rPr>
                <w:sz w:val="20"/>
                <w:szCs w:val="20"/>
                <w:color w:val="auto"/>
              </w:rPr>
            </w:pPr>
            <w:r>
              <w:rPr>
                <w:rFonts w:ascii="Arial" w:cs="Arial" w:eastAsia="Arial" w:hAnsi="Arial"/>
                <w:sz w:val="18"/>
                <w:szCs w:val="18"/>
                <w:b w:val="1"/>
                <w:bCs w:val="1"/>
                <w:color w:val="auto"/>
              </w:rPr>
              <w:t>EXHIBIT INDEX</w:t>
            </w:r>
          </w:p>
        </w:tc>
      </w:tr>
      <w:tr>
        <w:trPr>
          <w:trHeight w:val="39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620" w:type="dxa"/>
            <w:vAlign w:val="bottom"/>
          </w:tcPr>
          <w:p>
            <w:pPr>
              <w:spacing w:after="0"/>
              <w:rPr>
                <w:sz w:val="24"/>
                <w:szCs w:val="24"/>
                <w:color w:val="auto"/>
              </w:rPr>
            </w:pPr>
          </w:p>
        </w:tc>
        <w:tc>
          <w:tcPr>
            <w:tcW w:w="48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24"/>
                <w:szCs w:val="24"/>
                <w:color w:val="auto"/>
              </w:rPr>
            </w:pPr>
          </w:p>
        </w:tc>
        <w:tc>
          <w:tcPr>
            <w:tcW w:w="37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Press Release of the Company, dated May 10, 2022</w:t>
              </w:r>
            </w:hyperlink>
          </w:p>
        </w:tc>
        <w:tc>
          <w:tcPr>
            <w:tcW w:w="1160" w:type="dxa"/>
            <w:vAlign w:val="bottom"/>
          </w:tcPr>
          <w:p>
            <w:pPr>
              <w:spacing w:after="0"/>
              <w:rPr>
                <w:sz w:val="24"/>
                <w:szCs w:val="24"/>
                <w:color w:val="auto"/>
              </w:rPr>
            </w:pPr>
          </w:p>
        </w:tc>
      </w:tr>
    </w:tbl>
    <w:p>
      <w:pPr>
        <w:sectPr>
          <w:pgSz w:w="11900" w:h="16838" w:orient="portrait"/>
          <w:cols w:equalWidth="0" w:num="1">
            <w:col w:w="10880"/>
          </w:cols>
          <w:pgMar w:left="440" w:top="270" w:right="5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DOUBLEDOWN INTERACTIVE CO., LTD.</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A. Sigrist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Joseph A. Sigrist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594485" cy="977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9448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DoubleDown Interactive Reports First Quarter 2022 Results</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SEATTLE, WASHINGTON – May 10, 2022 — DoubleDown Interactive (NASDAQ: DDI) (“</w:t>
      </w:r>
      <w:r>
        <w:rPr>
          <w:rFonts w:ascii="Arial" w:cs="Arial" w:eastAsia="Arial" w:hAnsi="Arial"/>
          <w:sz w:val="17"/>
          <w:szCs w:val="17"/>
          <w:u w:val="single" w:color="auto"/>
          <w:color w:val="auto"/>
        </w:rPr>
        <w:t>DoubleDown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a leading developer and publisher of digital social casino games, today reported its unaudited financial results for the first quarter ended March 31, 2022.</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2022 Summary vs. First Quarter 2021</w:t>
      </w:r>
    </w:p>
    <w:p>
      <w:pPr>
        <w:spacing w:after="0" w:line="135" w:lineRule="exact"/>
        <w:rPr>
          <w:sz w:val="20"/>
          <w:szCs w:val="20"/>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Revenues decreased from $96.7 million in the first quarter of 2021 to $85.5 million in the first quarter of 2022.</w:t>
      </w:r>
    </w:p>
    <w:p>
      <w:pPr>
        <w:spacing w:after="0" w:line="130" w:lineRule="exact"/>
        <w:rPr>
          <w:rFonts w:ascii="Arial" w:cs="Arial" w:eastAsia="Arial" w:hAnsi="Arial"/>
          <w:sz w:val="18"/>
          <w:szCs w:val="18"/>
          <w:color w:val="auto"/>
        </w:rPr>
      </w:pPr>
    </w:p>
    <w:p>
      <w:pPr>
        <w:jc w:val="both"/>
        <w:ind w:left="960" w:right="160" w:hanging="532"/>
        <w:spacing w:after="0" w:line="263"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Adjusted EBITDA decreased from $33.1 million for the first quarter of 2021 to $26.9 million for the first quarter of 2022, resulting in an Adjusted EBITDA margin of 31.5% for the first quarter of 2022, compared to an Adjusted EBITDA margin of 34.2% for the first quarter of 2021.</w:t>
      </w:r>
    </w:p>
    <w:p>
      <w:pPr>
        <w:spacing w:after="0" w:line="89" w:lineRule="exact"/>
        <w:rPr>
          <w:rFonts w:ascii="Arial" w:cs="Arial" w:eastAsia="Arial" w:hAnsi="Arial"/>
          <w:sz w:val="18"/>
          <w:szCs w:val="18"/>
          <w:color w:val="auto"/>
        </w:rPr>
      </w:pPr>
    </w:p>
    <w:p>
      <w:pPr>
        <w:jc w:val="both"/>
        <w:ind w:left="960" w:right="640" w:hanging="532"/>
        <w:spacing w:after="0" w:line="286" w:lineRule="auto"/>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Net income decreased to $18.5 million, or $7.46 per common share on a fully diluted basis ($0.37 per American Depository Share (“ADS”)) in the first quarter of 2022, compared to net income of $19.4 million, or $8.77 per common share on a fully diluted basis ($0.44 per ADS) in the first quarter of 2021. Note each ADS represents 0.05 share of a common share.</w:t>
      </w:r>
    </w:p>
    <w:p>
      <w:pPr>
        <w:spacing w:after="0" w:line="70" w:lineRule="exact"/>
        <w:rPr>
          <w:rFonts w:ascii="Arial" w:cs="Arial" w:eastAsia="Arial" w:hAnsi="Arial"/>
          <w:sz w:val="17"/>
          <w:szCs w:val="17"/>
          <w:color w:val="auto"/>
        </w:rPr>
      </w:pPr>
    </w:p>
    <w:p>
      <w:pPr>
        <w:ind w:left="960" w:right="54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Average Revenue Per Daily Active User (“</w:t>
      </w:r>
      <w:r>
        <w:rPr>
          <w:rFonts w:ascii="Arial" w:cs="Arial" w:eastAsia="Arial" w:hAnsi="Arial"/>
          <w:sz w:val="18"/>
          <w:szCs w:val="18"/>
          <w:u w:val="single" w:color="auto"/>
          <w:color w:val="auto"/>
        </w:rPr>
        <w:t>ARPDAU</w:t>
      </w:r>
      <w:r>
        <w:rPr>
          <w:rFonts w:ascii="Arial" w:cs="Arial" w:eastAsia="Arial" w:hAnsi="Arial"/>
          <w:sz w:val="18"/>
          <w:szCs w:val="18"/>
          <w:color w:val="auto"/>
        </w:rPr>
        <w:t>”) slightly decreased from $0.99 in the first quarter of 2021 to $0.97 in the first quarter of 2022.</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Average monthly revenue per payer increased from $212 in the first quarter of 2021 to $225 in the first quarter of 2022.</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Payer conversion decreased from 5.7% in the first quarter of 2021 to 5.5% in the first quarter of 2022. Payer conversion represents the percentage of monthly active users that made at least one purchase in a month during the quarter.</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business model remains resilient with a flexible cost structure as we generated $28 million in net cash flows provided by operations in the first quarter of 2022 and ended the quarter with a total of $268 million in cash and cash equivalents and short-term investments, providing us with a strong financial position,” said In Keuk Kim, Chief Executive Officer of DoubleDown. “Our Adjusted EBITDA grew sequentially in the first quarter of 2022 compared to the fourth quarter of 2021, as we intentionally scaled back our sales and marketing costs for ‘Undead World: Hero Survival’ to optimize our monetization strategy for the title, which also contributed to lower revenue sequentially. Looking ahead, we plan to add enhancements to ‘Undead World: Hero Survival’ with a focus on improved monetization metrics, while also building towards the release of additional non-social casino titles and continuing to evaluate potential M&amp;A opportunities.”</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Summary Operating Results for DoubleDown Interactive (Unaudited)</w:t>
      </w:r>
    </w:p>
    <w:p>
      <w:pPr>
        <w:spacing w:after="0" w:line="126"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142"/>
        </w:trPr>
        <w:tc>
          <w:tcPr>
            <w:tcW w:w="58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Revenue ($ MM)</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Total operating expenses ($ MM)</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60.8</w:t>
            </w:r>
          </w:p>
        </w:tc>
        <w:tc>
          <w:tcPr>
            <w:tcW w:w="5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71.0</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 MM)</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26.9</w:t>
            </w:r>
          </w:p>
        </w:tc>
        <w:tc>
          <w:tcPr>
            <w:tcW w:w="5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Net income ($ MM)</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18.5</w:t>
            </w:r>
          </w:p>
        </w:tc>
        <w:tc>
          <w:tcPr>
            <w:tcW w:w="5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19.4</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income margin</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Adjusted EBITDA margin</w:t>
            </w: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31.5%</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r>
      <w:tr>
        <w:trPr>
          <w:trHeight w:val="94"/>
        </w:trPr>
        <w:tc>
          <w:tcPr>
            <w:tcW w:w="5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Non-financial performance metrics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Average MAUs (000s)</w:t>
            </w:r>
          </w:p>
        </w:tc>
        <w:tc>
          <w:tcPr>
            <w:tcW w:w="1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2,309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2,647</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Average DAUs (000s)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1,082</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ARPDAU</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0.97</w:t>
            </w:r>
          </w:p>
        </w:tc>
        <w:tc>
          <w:tcPr>
            <w:tcW w:w="5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0.99</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Average monthly revenue per payer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225</w:t>
            </w:r>
          </w:p>
        </w:tc>
        <w:tc>
          <w:tcPr>
            <w:tcW w:w="5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Payer conversion</w:t>
            </w: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2022 Financial Results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Revenue in the first quarter of 2022 was $85.5 million, down 11.6% from the first quarter of 2021. The decrease was primarily due to the lifting of stay-at-home orders and other COVID-related restrictions in the first quarter of 2022 compared to the prior year.</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Operating expenses in the first quarter of 2022 were $60.8 million, down 14.4% from the first quarter of 2021. The decrease was primarily due to decreases in cost of revenues, sales and marketing expenses, and depreciation and amortization expenses.</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Net income in the first quarter of 2022 decreased to $18.5 million, or $7.46 per common share ($0.37 per ADS) on a fully diluted basis, compared to net income of $19.4 million, or $8.77 per common share ($0.44 per ADS) on a fully diluted basis, in the first quarter of 2021. Note each ADS represents 0.05 share of a common share.</w:t>
      </w:r>
    </w:p>
    <w:p>
      <w:pPr>
        <w:spacing w:after="0" w:line="18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Adjusted EBITDA in the first quarter of 2022 decreased to $26.9 million compared to $33.1 million in the first quarter of 2021. The decrease was primarily due to the decrease in revenue.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Net cash flows provided by operating activities for the first quarter of 2022 was $28.3 million, compared to $22.0 million in the first quarter of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due to the decrease in accounts receivable.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2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DoubleDown will hold a conference call today (May 10, 2022) at 5:00 p.m. Eastern Time (2:00 p.m. Pacific Time) to discuss these results. A question-and-answer session will follow management’s presentation.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To participate, please dial the number below at least five minutes prior to the start time and ask for the DoubleDown Interactive conference call.</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U.S. dial-in number: 1-888-705-0418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number: 1-929-517-9007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6589864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will broadcast live and be available for replay here or at the below dial in.</w:t>
      </w:r>
    </w:p>
    <w:p>
      <w:pPr>
        <w:sectPr>
          <w:pgSz w:w="11900" w:h="16838" w:orient="portrait"/>
          <w:cols w:equalWidth="0" w:num="1">
            <w:col w:w="10960"/>
          </w:cols>
          <w:pgMar w:left="440" w:top="270"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replay of the call will be available after 8:00 p.m. Eastern Time through May 24, 2022 at 8:00 p.m. Eastern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1-855-859-2056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1-404-537-3406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6589864</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DoubleDown Interactive</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DoubleDown Interactive Co., Ltd. is a leading developer and publisher of digital games on mobile and web-based platforms. We are the creators of multi-format interactive entertainment experiences for casual players, bringing authentic Vegas entertainment to players around the world through an online social casino experience. Our flagship title, DoubleDown Casino, has been a fan-favorite game on leading social and mobile platforms for years, entertaining millions of players worldwide with a lineup of classic and modern games.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statements contained in this press release are “forward-looking statements” about future events and expectations for purposes of the safe harbor provisions under the United States Private Securities Litigation Reform Act of 1995. Forward-looking statements are based on our beliefs, assumptions, and expectations of industry trends, our future financial and operating performance, and our growth plans, taking into account the information currently available to us. These statements are not statements of historical fact.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Therefore, you should not place undue reliance on such statements. Words such as “anticipates,” believes,” “continues,” “estimates,” “expects,” “goal,” “objectives,” “intends,” “may,” “opportunity,” “plans,” potential,” “near-term,” long-term,” “projections,” “assumptions,” “projects,” “guidance,” “forecasts,” “outlook,” “target,” “trends,” “should,” “could,” “would,” “will,” and similar expressions are intended to identify such forward-looking statements. We qualify any forward-looking statements entirely by these cautionary factors. We assume no obligation to update or revise any forward-looking statements for any reason or to update the reasons actual results could differ materially from those anticipated in these forward-looking statements, even if new information becomes available in the future.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Use and Reconciliation of Non-GAAP Financial Measures</w:t>
      </w:r>
    </w:p>
    <w:p>
      <w:pPr>
        <w:spacing w:after="0" w:line="22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In addition to our results determined in accordance with the accounting principles generally accepted in the United States of America (“</w:t>
      </w:r>
      <w:r>
        <w:rPr>
          <w:rFonts w:ascii="Arial" w:cs="Arial" w:eastAsia="Arial" w:hAnsi="Arial"/>
          <w:sz w:val="17"/>
          <w:szCs w:val="17"/>
          <w:u w:val="single" w:color="auto"/>
          <w:color w:val="auto"/>
        </w:rPr>
        <w:t>GAAP</w:t>
      </w:r>
      <w:r>
        <w:rPr>
          <w:rFonts w:ascii="Arial" w:cs="Arial" w:eastAsia="Arial" w:hAnsi="Arial"/>
          <w:sz w:val="17"/>
          <w:szCs w:val="17"/>
          <w:color w:val="auto"/>
        </w:rPr>
        <w:t>”), we believe the following non-GAAP financial measure is useful in evaluating our operating performance. We present “</w:t>
      </w:r>
      <w:r>
        <w:rPr>
          <w:rFonts w:ascii="Arial" w:cs="Arial" w:eastAsia="Arial" w:hAnsi="Arial"/>
          <w:sz w:val="17"/>
          <w:szCs w:val="17"/>
          <w:i w:val="1"/>
          <w:iCs w:val="1"/>
          <w:color w:val="auto"/>
        </w:rPr>
        <w:t>adjusted earnings before interest,</w:t>
      </w:r>
      <w:r>
        <w:rPr>
          <w:rFonts w:ascii="Arial" w:cs="Arial" w:eastAsia="Arial" w:hAnsi="Arial"/>
          <w:sz w:val="17"/>
          <w:szCs w:val="17"/>
          <w:color w:val="auto"/>
        </w:rPr>
        <w:t xml:space="preserve"> </w:t>
      </w:r>
      <w:r>
        <w:rPr>
          <w:rFonts w:ascii="Arial" w:cs="Arial" w:eastAsia="Arial" w:hAnsi="Arial"/>
          <w:sz w:val="17"/>
          <w:szCs w:val="17"/>
          <w:i w:val="1"/>
          <w:iCs w:val="1"/>
          <w:color w:val="auto"/>
        </w:rPr>
        <w:t>taxes, depreciation and amortization</w:t>
      </w:r>
      <w:r>
        <w:rPr>
          <w:rFonts w:ascii="Arial" w:cs="Arial" w:eastAsia="Arial" w:hAnsi="Arial"/>
          <w:sz w:val="17"/>
          <w:szCs w:val="17"/>
          <w:color w:val="auto"/>
        </w:rPr>
        <w:t>” (“</w:t>
      </w:r>
      <w:r>
        <w:rPr>
          <w:rFonts w:ascii="Arial" w:cs="Arial" w:eastAsia="Arial" w:hAnsi="Arial"/>
          <w:sz w:val="17"/>
          <w:szCs w:val="17"/>
          <w:u w:val="single" w:color="auto"/>
          <w:color w:val="auto"/>
        </w:rPr>
        <w:t>Adjusted EBITDA</w:t>
      </w:r>
      <w:r>
        <w:rPr>
          <w:rFonts w:ascii="Arial" w:cs="Arial" w:eastAsia="Arial" w:hAnsi="Arial"/>
          <w:sz w:val="17"/>
          <w:szCs w:val="17"/>
          <w:color w:val="auto"/>
        </w:rPr>
        <w:t>”) because we believe it assists investors and analysts by facilitating comparison of</w:t>
      </w:r>
      <w:r>
        <w:rPr>
          <w:rFonts w:ascii="Arial" w:cs="Arial" w:eastAsia="Arial" w:hAnsi="Arial"/>
          <w:sz w:val="17"/>
          <w:szCs w:val="17"/>
          <w:i w:val="1"/>
          <w:iCs w:val="1"/>
          <w:color w:val="auto"/>
        </w:rPr>
        <w:t xml:space="preserve"> </w:t>
      </w:r>
      <w:r>
        <w:rPr>
          <w:rFonts w:ascii="Arial" w:cs="Arial" w:eastAsia="Arial" w:hAnsi="Arial"/>
          <w:sz w:val="17"/>
          <w:szCs w:val="17"/>
          <w:color w:val="auto"/>
        </w:rPr>
        <w:t>period-to-period operational performance on a consistent basis by excluding items that we do not believe are indicative of our core operating performance. The items excluded from the Adjusted EBITDA may have a material impact on our financial results. Certain of those items are non-recurring, while others are non-cash in nature. Accordingly, the Adjusted EBITDA is presented as supplemental disclosure and should not be considered in isolation of, as a substitute for, or superior to, the financial information prepared in accordance with GAAP, and should be read in conjunction with the financial statements furnished in our Form 6-K to be filed with the SEC.</w:t>
      </w:r>
    </w:p>
    <w:p>
      <w:pPr>
        <w:spacing w:after="0" w:line="178"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In our reconciliation from our reported GAAP “net income before provision for taxes” to our Adjusted EBITDA, we eliminate the impact of the following four line items: (i) remeasurement gains; (ii) acquisition expenses; (iii) amortization expenses related to intangible assets acquired; and (iv) depreciation expense. The below table sets forth the full reconciliation of our non-GAAP measures:</w:t>
      </w:r>
    </w:p>
    <w:p>
      <w:pPr>
        <w:sectPr>
          <w:pgSz w:w="11900" w:h="16838" w:orient="portrait"/>
          <w:cols w:equalWidth="0" w:num="1">
            <w:col w:w="10920"/>
          </w:cols>
          <w:pgMar w:left="440" w:top="274" w:right="539" w:bottom="1440" w:gutter="0" w:footer="0" w:header="0"/>
        </w:sectPr>
      </w:pPr>
    </w:p>
    <w:bookmarkStart w:id="6" w:name="page7"/>
    <w:bookmarkEnd w:id="6"/>
    <w:tbl>
      <w:tblPr>
        <w:tblLayout w:type="fixed"/>
        <w:tblInd w:w="1320" w:type="dxa"/>
        <w:tblCellMar>
          <w:top w:w="0" w:type="dxa"/>
          <w:left w:w="0" w:type="dxa"/>
          <w:bottom w:w="0" w:type="dxa"/>
          <w:right w:w="0" w:type="dxa"/>
        </w:tblCellMar>
      </w:tblPr>
      <w:tr>
        <w:trPr>
          <w:trHeight w:val="161"/>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Reconciliation of non-GAAP measures (Unaudited)</w:t>
            </w:r>
          </w:p>
        </w:tc>
        <w:tc>
          <w:tcPr>
            <w:tcW w:w="1120" w:type="dxa"/>
            <w:vAlign w:val="bottom"/>
          </w:tcPr>
          <w:p>
            <w:pPr>
              <w:spacing w:after="0"/>
              <w:rPr>
                <w:sz w:val="14"/>
                <w:szCs w:val="14"/>
                <w:color w:val="auto"/>
              </w:rPr>
            </w:pPr>
          </w:p>
        </w:tc>
        <w:tc>
          <w:tcPr>
            <w:tcW w:w="17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550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Borders>
              <w:bottom w:val="single" w:sz="8" w:color="auto"/>
            </w:tcBorders>
            <w:gridSpan w:val="3"/>
          </w:tcPr>
          <w:p>
            <w:pPr>
              <w:jc w:val="right"/>
              <w:spacing w:after="0" w:line="153" w:lineRule="exact"/>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88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i w:val="1"/>
                <w:iCs w:val="1"/>
                <w:color w:val="auto"/>
                <w:w w:val="92"/>
              </w:rPr>
              <w:t>(in millions, except percentages)</w:t>
            </w:r>
          </w:p>
        </w:tc>
        <w:tc>
          <w:tcPr>
            <w:tcW w:w="3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jc w:val="right"/>
              <w:ind w:right="24"/>
              <w:spacing w:after="0" w:line="135" w:lineRule="exact"/>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ind w:right="32"/>
              <w:spacing w:after="0" w:line="135" w:lineRule="exact"/>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income</w:t>
            </w:r>
          </w:p>
        </w:tc>
        <w:tc>
          <w:tcPr>
            <w:tcW w:w="1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$ 18.5</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19.4</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140" w:type="dxa"/>
            <w:vAlign w:val="bottom"/>
            <w:gridSpan w:val="3"/>
          </w:tcPr>
          <w:p>
            <w:pPr>
              <w:jc w:val="right"/>
              <w:ind w:right="5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2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324"/>
        </w:trPr>
        <w:tc>
          <w:tcPr>
            <w:tcW w:w="5500" w:type="dxa"/>
            <w:vAlign w:val="bottom"/>
            <w:gridSpan w:val="2"/>
          </w:tcPr>
          <w:p>
            <w:pPr>
              <w:spacing w:after="0"/>
              <w:rPr>
                <w:sz w:val="20"/>
                <w:szCs w:val="20"/>
                <w:color w:val="auto"/>
              </w:rPr>
            </w:pPr>
            <w:r>
              <w:rPr>
                <w:rFonts w:ascii="Arial" w:cs="Arial" w:eastAsia="Arial" w:hAnsi="Arial"/>
                <w:sz w:val="18"/>
                <w:szCs w:val="18"/>
                <w:color w:val="auto"/>
              </w:rPr>
              <w:t>Adjustments for:</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550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2140" w:type="dxa"/>
            <w:vAlign w:val="bottom"/>
            <w:gridSpan w:val="3"/>
          </w:tcPr>
          <w:p>
            <w:pPr>
              <w:jc w:val="right"/>
              <w:ind w:right="52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transaction/remeasurement (gain) loss</w:t>
            </w:r>
          </w:p>
        </w:tc>
        <w:tc>
          <w:tcPr>
            <w:tcW w:w="2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500" w:type="dxa"/>
            <w:vAlign w:val="bottom"/>
            <w:gridSpan w:val="2"/>
          </w:tcPr>
          <w:p>
            <w:pPr>
              <w:ind w:left="360"/>
              <w:spacing w:after="0"/>
              <w:rPr>
                <w:sz w:val="20"/>
                <w:szCs w:val="20"/>
                <w:color w:val="auto"/>
              </w:rPr>
            </w:pPr>
            <w:r>
              <w:rPr>
                <w:rFonts w:ascii="Arial" w:cs="Arial" w:eastAsia="Arial" w:hAnsi="Arial"/>
                <w:sz w:val="18"/>
                <w:szCs w:val="18"/>
                <w:color w:val="auto"/>
              </w:rPr>
              <w:t>Short-term investments (gain) loss</w:t>
            </w:r>
          </w:p>
        </w:tc>
        <w:tc>
          <w:tcPr>
            <w:tcW w:w="2140" w:type="dxa"/>
            <w:vAlign w:val="bottom"/>
            <w:gridSpan w:val="3"/>
          </w:tcPr>
          <w:p>
            <w:pPr>
              <w:jc w:val="right"/>
              <w:ind w:right="5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140" w:type="dxa"/>
            <w:vAlign w:val="bottom"/>
            <w:gridSpan w:val="3"/>
          </w:tcPr>
          <w:p>
            <w:pPr>
              <w:jc w:val="right"/>
              <w:ind w:right="520"/>
              <w:spacing w:after="0"/>
              <w:rPr>
                <w:sz w:val="20"/>
                <w:szCs w:val="20"/>
                <w:color w:val="auto"/>
              </w:rPr>
            </w:pPr>
            <w:r>
              <w:rPr>
                <w:rFonts w:ascii="Arial" w:cs="Arial" w:eastAsia="Arial" w:hAnsi="Arial"/>
                <w:sz w:val="18"/>
                <w:szCs w:val="18"/>
                <w:color w:val="auto"/>
              </w:rPr>
              <w:t>$ 26.9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2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We encourage investors and others to review our financial information in its entirety and not to rely on any single financial measure.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Joe Sigrist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ir@doubledown.com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(206) 773-2266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https://www.doubledowninteractive.com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Cody Slach or Jeff Grampp, CFA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Gateway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1-949-574-3860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DDI@gatewayir.com</w:t>
      </w:r>
    </w:p>
    <w:p>
      <w:pPr>
        <w:sectPr>
          <w:pgSz w:w="11900" w:h="16838" w:orient="portrait"/>
          <w:cols w:equalWidth="0" w:num="1">
            <w:col w:w="10019"/>
          </w:cols>
          <w:pgMar w:left="440" w:top="253" w:right="1440"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DoubleDown Interactive Co., Ltd.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42"/>
        </w:trPr>
        <w:tc>
          <w:tcPr>
            <w:tcW w:w="86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196"/>
        </w:trPr>
        <w:tc>
          <w:tcPr>
            <w:tcW w:w="8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174,915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242,060</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93,290</w:t>
            </w:r>
          </w:p>
        </w:tc>
        <w:tc>
          <w:tcPr>
            <w:tcW w:w="18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20,863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21,875</w:t>
            </w:r>
          </w:p>
        </w:tc>
      </w:tr>
      <w:tr>
        <w:trPr>
          <w:trHeight w:val="223"/>
        </w:trPr>
        <w:tc>
          <w:tcPr>
            <w:tcW w:w="862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6,817</w:t>
            </w:r>
          </w:p>
        </w:tc>
        <w:tc>
          <w:tcPr>
            <w:tcW w:w="60" w:type="dxa"/>
            <w:vAlign w:val="bottom"/>
          </w:tcPr>
          <w:p>
            <w:pPr>
              <w:spacing w:after="0"/>
              <w:rPr>
                <w:sz w:val="19"/>
                <w:szCs w:val="19"/>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292,515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270,752</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384</w:t>
            </w: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 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6,078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6,830</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51,511</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53,679</w:t>
            </w: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633,965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633,965</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Deferred tax asset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2,184</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2,616</w:t>
            </w: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1,582</w:t>
            </w:r>
          </w:p>
        </w:tc>
      </w:tr>
      <w:tr>
        <w:trPr>
          <w:trHeight w:val="230"/>
        </w:trPr>
        <w:tc>
          <w:tcPr>
            <w:tcW w:w="86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988,189</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969,808</w:t>
            </w:r>
          </w:p>
        </w:tc>
        <w:tc>
          <w:tcPr>
            <w:tcW w:w="60" w:type="dxa"/>
            <w:vAlign w:val="bottom"/>
          </w:tcPr>
          <w:p>
            <w:pPr>
              <w:spacing w:after="0"/>
              <w:rPr>
                <w:sz w:val="20"/>
                <w:szCs w:val="20"/>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13,584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14,752</w:t>
            </w: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operating lease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3,076</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1,739</w:t>
            </w:r>
          </w:p>
        </w:tc>
        <w:tc>
          <w:tcPr>
            <w:tcW w:w="18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2,246</w:t>
            </w:r>
          </w:p>
        </w:tc>
      </w:tr>
      <w:tr>
        <w:trPr>
          <w:trHeight w:val="223"/>
        </w:trPr>
        <w:tc>
          <w:tcPr>
            <w:tcW w:w="862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60" w:type="dxa"/>
            <w:vAlign w:val="bottom"/>
          </w:tcPr>
          <w:p>
            <w:pPr>
              <w:spacing w:after="0"/>
              <w:rPr>
                <w:sz w:val="19"/>
                <w:szCs w:val="19"/>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20,668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20,804</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Long-term borrowings with related party</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41,295</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42,176</w:t>
            </w: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3,855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4,688</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Deferred tax liabilities, 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30,880</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28,309</w:t>
            </w: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11,090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9,953</w:t>
            </w:r>
          </w:p>
        </w:tc>
      </w:tr>
      <w:tr>
        <w:trPr>
          <w:trHeight w:val="223"/>
        </w:trPr>
        <w:tc>
          <w:tcPr>
            <w:tcW w:w="86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107,788</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105,930</w:t>
            </w:r>
          </w:p>
        </w:tc>
        <w:tc>
          <w:tcPr>
            <w:tcW w:w="60" w:type="dxa"/>
            <w:vAlign w:val="bottom"/>
          </w:tcPr>
          <w:p>
            <w:pPr>
              <w:spacing w:after="0"/>
              <w:rPr>
                <w:sz w:val="19"/>
                <w:szCs w:val="19"/>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w w:val="95"/>
              </w:rPr>
              <w:t>Common stock, KRW 10,000 par value - 200,000,000 Shares authorized; 2,477,672 issued and outstanding</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21,198</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21,198</w:t>
            </w: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paid-in-capital</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671,831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671,831</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21,061</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23,033</w:t>
            </w: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166,311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147,816</w:t>
            </w:r>
          </w:p>
        </w:tc>
      </w:tr>
      <w:tr>
        <w:trPr>
          <w:trHeight w:val="230"/>
        </w:trPr>
        <w:tc>
          <w:tcPr>
            <w:tcW w:w="862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880,401</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863,878</w:t>
            </w:r>
          </w:p>
        </w:tc>
        <w:tc>
          <w:tcPr>
            <w:tcW w:w="60" w:type="dxa"/>
            <w:vAlign w:val="bottom"/>
          </w:tcPr>
          <w:p>
            <w:pPr>
              <w:spacing w:after="0"/>
              <w:rPr>
                <w:sz w:val="20"/>
                <w:szCs w:val="20"/>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988,189</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969,808</w:t>
            </w:r>
          </w:p>
        </w:tc>
        <w:tc>
          <w:tcPr>
            <w:tcW w:w="60" w:type="dxa"/>
            <w:vAlign w:val="bottom"/>
            <w:shd w:val="clear" w:color="auto" w:fill="CCEEFF"/>
          </w:tcPr>
          <w:p>
            <w:pPr>
              <w:spacing w:after="0"/>
              <w:rPr>
                <w:sz w:val="18"/>
                <w:szCs w:val="18"/>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DoubleDown Interactive Co.,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6"/>
              </w:rPr>
              <w:t>Three Months Ended March</w:t>
            </w:r>
          </w:p>
        </w:tc>
      </w:tr>
      <w:tr>
        <w:trPr>
          <w:trHeight w:val="171"/>
        </w:trPr>
        <w:tc>
          <w:tcPr>
            <w:tcW w:w="6120" w:type="dxa"/>
            <w:vAlign w:val="bottom"/>
            <w:tcBorders>
              <w:bottom w:val="single" w:sz="8" w:color="CCEEFF"/>
            </w:tcBorders>
          </w:tcPr>
          <w:p>
            <w:pPr>
              <w:spacing w:after="0"/>
              <w:rPr>
                <w:sz w:val="14"/>
                <w:szCs w:val="14"/>
                <w:color w:val="auto"/>
              </w:rPr>
            </w:pPr>
          </w:p>
        </w:tc>
        <w:tc>
          <w:tcPr>
            <w:tcW w:w="2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96,667</w:t>
            </w:r>
          </w:p>
        </w:tc>
        <w:tc>
          <w:tcPr>
            <w:tcW w:w="12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Operating expenses: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33,848</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19,791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19,728</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5,691</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5,270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4,304</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7,476</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60,801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71,047</w:t>
            </w:r>
          </w:p>
        </w:tc>
        <w:tc>
          <w:tcPr>
            <w:tcW w:w="120" w:type="dxa"/>
            <w:vAlign w:val="bottom"/>
          </w:tcPr>
          <w:p>
            <w:pPr>
              <w:spacing w:after="0"/>
              <w:rPr>
                <w:sz w:val="20"/>
                <w:szCs w:val="20"/>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25,620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Other income (expense):</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(509)</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Interest income</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Gain on foreign currency transactions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Gain (loss) on foreign currency remeasurement</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Gain (loss) on short-term investments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Other, net</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657</w:t>
            </w:r>
          </w:p>
        </w:tc>
      </w:tr>
      <w:tr>
        <w:trPr>
          <w:trHeight w:val="27"/>
        </w:trPr>
        <w:tc>
          <w:tcPr>
            <w:tcW w:w="6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w:t>
            </w: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Income before income tax</w:t>
            </w:r>
          </w:p>
        </w:tc>
        <w:tc>
          <w:tcPr>
            <w:tcW w:w="2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24,517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26,107</w:t>
            </w:r>
          </w:p>
        </w:tc>
        <w:tc>
          <w:tcPr>
            <w:tcW w:w="120" w:type="dxa"/>
            <w:vAlign w:val="bottom"/>
          </w:tcPr>
          <w:p>
            <w:pPr>
              <w:spacing w:after="0"/>
              <w:rPr>
                <w:sz w:val="19"/>
                <w:szCs w:val="19"/>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(6,691)</w:t>
            </w: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Net income</w:t>
            </w:r>
          </w:p>
        </w:tc>
        <w:tc>
          <w:tcPr>
            <w:tcW w:w="27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18,495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19,416</w:t>
            </w:r>
          </w:p>
        </w:tc>
        <w:tc>
          <w:tcPr>
            <w:tcW w:w="120" w:type="dxa"/>
            <w:vAlign w:val="bottom"/>
          </w:tcPr>
          <w:p>
            <w:pPr>
              <w:spacing w:after="0"/>
              <w:rPr>
                <w:sz w:val="19"/>
                <w:szCs w:val="19"/>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(expense):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Pension adjustments, net of tax</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Gain (loss) on foreign currency translation</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1,329</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Comprehensive income</w:t>
            </w:r>
          </w:p>
        </w:tc>
        <w:tc>
          <w:tcPr>
            <w:tcW w:w="27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16,523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20,690</w:t>
            </w:r>
          </w:p>
        </w:tc>
        <w:tc>
          <w:tcPr>
            <w:tcW w:w="120" w:type="dxa"/>
            <w:vAlign w:val="bottom"/>
          </w:tcPr>
          <w:p>
            <w:pPr>
              <w:spacing w:after="0"/>
              <w:rPr>
                <w:sz w:val="20"/>
                <w:szCs w:val="20"/>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Basic</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7.46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8.77</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2,477,672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2,214,522</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Diluted</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2,477,672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2,214,522</w:t>
            </w:r>
          </w:p>
        </w:tc>
      </w:tr>
    </w:tbl>
    <w:p>
      <w:pPr>
        <w:spacing w:after="0" w:line="21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w:t>
        <w:tab/>
        <w:t>Excluding depreciation and amortization</w:t>
      </w:r>
    </w:p>
    <w:p>
      <w:pPr>
        <w:sectPr>
          <w:pgSz w:w="11900" w:h="16838" w:orient="portrait"/>
          <w:cols w:equalWidth="0" w:num="1">
            <w:col w:w="11020"/>
          </w:cols>
          <w:pgMar w:left="440" w:top="270" w:right="4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DoubleDown Interactive Co., Ltd.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40" w:type="dxa"/>
            <w:vAlign w:val="bottom"/>
          </w:tcPr>
          <w:p>
            <w:pPr>
              <w:spacing w:after="0"/>
              <w:rPr>
                <w:sz w:val="14"/>
                <w:szCs w:val="14"/>
                <w:color w:val="auto"/>
              </w:rPr>
            </w:pPr>
          </w:p>
        </w:tc>
        <w:tc>
          <w:tcPr>
            <w:tcW w:w="2080" w:type="dxa"/>
            <w:vAlign w:val="bottom"/>
            <w:gridSpan w:val="7"/>
          </w:tcPr>
          <w:p>
            <w:pPr>
              <w:ind w:left="20"/>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142"/>
        </w:trPr>
        <w:tc>
          <w:tcPr>
            <w:tcW w:w="89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(used in) operating activities: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18,495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19,416</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2,212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7,476</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(Gain)Loss on foreign currency remeasurement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(Gain)Loss on short-term investments</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taxes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1,925</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Working capital adjustments: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(11,583)</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Prepaid expenses, other current and non-current assets</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3,398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1,694</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accrued expenses and other payables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(962)</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Contract liabilities</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(446)</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3,777</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Other current and non-current liabilities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780</w:t>
            </w:r>
          </w:p>
        </w:tc>
      </w:tr>
      <w:tr>
        <w:trPr>
          <w:trHeight w:val="27"/>
        </w:trPr>
        <w:tc>
          <w:tcPr>
            <w:tcW w:w="8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(used in) operating activities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22,032</w:t>
            </w:r>
          </w:p>
        </w:tc>
      </w:tr>
      <w:tr>
        <w:trPr>
          <w:trHeight w:val="216"/>
        </w:trPr>
        <w:tc>
          <w:tcPr>
            <w:tcW w:w="8940" w:type="dxa"/>
            <w:vAlign w:val="bottom"/>
          </w:tcPr>
          <w:p>
            <w:pPr>
              <w:spacing w:after="0"/>
              <w:rPr>
                <w:sz w:val="20"/>
                <w:szCs w:val="20"/>
                <w:color w:val="auto"/>
              </w:rPr>
            </w:pPr>
            <w:r>
              <w:rPr>
                <w:rFonts w:ascii="Arial" w:cs="Arial" w:eastAsia="Arial" w:hAnsi="Arial"/>
                <w:sz w:val="18"/>
                <w:szCs w:val="18"/>
                <w:b w:val="1"/>
                <w:bCs w:val="1"/>
                <w:color w:val="auto"/>
              </w:rPr>
              <w:t>Cash flow from (used in) investing activities: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intangible assets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short-term investments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(98,971)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8940" w:type="dxa"/>
            <w:vAlign w:val="bottom"/>
          </w:tcPr>
          <w:p>
            <w:pPr>
              <w:ind w:left="360"/>
              <w:spacing w:after="0"/>
              <w:rPr>
                <w:sz w:val="20"/>
                <w:szCs w:val="20"/>
                <w:color w:val="auto"/>
              </w:rPr>
            </w:pPr>
            <w:r>
              <w:rPr>
                <w:rFonts w:ascii="Arial" w:cs="Arial" w:eastAsia="Arial" w:hAnsi="Arial"/>
                <w:sz w:val="18"/>
                <w:szCs w:val="18"/>
                <w:color w:val="auto"/>
              </w:rPr>
              <w:t>Sales of short-term investments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(used in) investing activities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(93,819)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(34)</w:t>
            </w:r>
          </w:p>
        </w:tc>
      </w:tr>
      <w:tr>
        <w:trPr>
          <w:trHeight w:val="223"/>
        </w:trPr>
        <w:tc>
          <w:tcPr>
            <w:tcW w:w="8940" w:type="dxa"/>
            <w:vAlign w:val="bottom"/>
          </w:tcPr>
          <w:p>
            <w:pPr>
              <w:spacing w:after="0"/>
              <w:rPr>
                <w:sz w:val="20"/>
                <w:szCs w:val="20"/>
                <w:color w:val="auto"/>
              </w:rPr>
            </w:pPr>
            <w:r>
              <w:rPr>
                <w:rFonts w:ascii="Arial" w:cs="Arial" w:eastAsia="Arial" w:hAnsi="Arial"/>
                <w:sz w:val="18"/>
                <w:szCs w:val="18"/>
                <w:b w:val="1"/>
                <w:bCs w:val="1"/>
                <w:color w:val="auto"/>
              </w:rPr>
              <w:t>Cash flow from (used in) financing activities: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(used in) financing activities: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Net foreign exchange difference on cash and cash equivalents</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(750)</w:t>
            </w:r>
          </w:p>
        </w:tc>
      </w:tr>
      <w:tr>
        <w:trPr>
          <w:trHeight w:val="27"/>
        </w:trPr>
        <w:tc>
          <w:tcPr>
            <w:tcW w:w="8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(67,145)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21,248</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242,060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63,188</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174,915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84,436</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2022-05-10T15:37:10Z</dcterms:created>
  <dcterms:modified xsi:type="dcterms:W3CDTF">2022-05-10T15:37:10Z</dcterms:modified>
</cp:coreProperties>
</file>