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 DoubleDown Interactive, LLC</w:t>
      </w:r>
    </w:p>
    <w:p>
      <w:pPr>
        <w:jc w:val="center"/>
        <w:ind w:right="-119"/>
        <w:spacing w:after="0" w:line="215" w:lineRule="auto"/>
        <w:rPr>
          <w:sz w:val="20"/>
          <w:szCs w:val="20"/>
          <w:color w:val="auto"/>
        </w:rPr>
      </w:pPr>
      <w:r>
        <w:rPr>
          <w:rFonts w:ascii="Arial" w:cs="Arial" w:eastAsia="Arial" w:hAnsi="Arial"/>
          <w:sz w:val="18"/>
          <w:szCs w:val="18"/>
          <w:b w:val="1"/>
          <w:bCs w:val="1"/>
          <w:color w:val="auto"/>
        </w:rPr>
        <w:t>605 5</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Avenue, Suite 300</w:t>
      </w:r>
    </w:p>
    <w:p>
      <w:pPr>
        <w:jc w:val="center"/>
        <w:ind w:right="-119"/>
        <w:spacing w:after="0"/>
        <w:rPr>
          <w:sz w:val="20"/>
          <w:szCs w:val="20"/>
          <w:color w:val="auto"/>
        </w:rPr>
      </w:pPr>
      <w:r>
        <w:rPr>
          <w:rFonts w:ascii="Arial" w:cs="Arial" w:eastAsia="Arial" w:hAnsi="Arial"/>
          <w:sz w:val="18"/>
          <w:szCs w:val="18"/>
          <w:b w:val="1"/>
          <w:bCs w:val="1"/>
          <w:color w:val="auto"/>
        </w:rPr>
        <w:t>Seattle, WA 98104</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207" w:lineRule="exact"/>
        <w:tabs>
          <w:tab w:leader="none" w:pos="8640" w:val="left"/>
        </w:tabs>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20-F</w:t>
      </w:r>
      <w:r>
        <w:rPr>
          <w:rFonts w:ascii="MS PGothic" w:cs="MS PGothic" w:eastAsia="MS PGothic" w:hAnsi="MS PGothic"/>
          <w:sz w:val="17"/>
          <w:szCs w:val="17"/>
          <w:color w:val="auto"/>
        </w:rPr>
        <w:t xml:space="preserve">  ☐ </w:t>
      </w:r>
      <w:r>
        <w:rPr>
          <w:rFonts w:ascii="Arial" w:cs="Arial" w:eastAsia="Arial" w:hAnsi="Arial"/>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382" w:right="559" w:bottom="1440" w:gutter="0" w:footer="0" w:header="0"/>
        </w:sectPr>
      </w:pPr>
    </w:p>
    <w:bookmarkStart w:id="1" w:name="page2"/>
    <w:bookmarkEnd w:id="1"/>
    <w:p>
      <w:pPr>
        <w:ind w:left="3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INFORMATION CONTAINED IN THIS FORM 6-K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Issuance of Press Release; Financial Statements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August 8, 2023, DoubleDown Interactive Co., Ltd.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its preliminary unaudited financial results for the second quarter ended June 30, 2023, together with the unaudited consolidated financial statements of the Company for the three and six months ended June 30, 2023.</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copy of the press release and the unaudited financial statements are being furnished in this report on Form 6-K as Exhibits 99.1 and 99.2, respectively, pursuant to General Instruction B to the Form 6-K, and shall not be deemed to be “filed” for the purposes of Section 18 of the Securities Exchange Act of 1934, as amended, or otherwise subject to the liabilities of that section.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60" w:type="dxa"/>
            <w:vAlign w:val="bottom"/>
            <w:gridSpan w:val="2"/>
          </w:tcPr>
          <w:p>
            <w:pPr>
              <w:ind w:left="264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24"/>
                <w:szCs w:val="24"/>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240" w:type="dxa"/>
            <w:vAlign w:val="bottom"/>
          </w:tcPr>
          <w:p>
            <w:pPr>
              <w:spacing w:after="0"/>
              <w:rPr>
                <w:sz w:val="24"/>
                <w:szCs w:val="24"/>
                <w:color w:val="auto"/>
              </w:rPr>
            </w:pPr>
          </w:p>
        </w:tc>
      </w:tr>
      <w:tr>
        <w:trPr>
          <w:trHeight w:val="283"/>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0000EE"/>
              </w:rPr>
              <w:t>Press release of the Company, dated August 8, 2023</w:t>
            </w:r>
          </w:p>
        </w:tc>
      </w:tr>
      <w:tr>
        <w:trPr>
          <w:trHeight w:val="20"/>
        </w:trPr>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79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Unaudited consolidated financial statements of the Company for the three and six months ended June 30, 2023</w:t>
            </w:r>
          </w:p>
        </w:tc>
      </w:tr>
    </w:tbl>
    <w:p>
      <w:pPr>
        <w:sectPr>
          <w:pgSz w:w="11900" w:h="16838" w:orient="portrait"/>
          <w:cols w:equalWidth="0" w:num="1">
            <w:col w:w="10980"/>
          </w:cols>
          <w:pgMar w:left="440" w:top="513"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513" w:right="7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17015" cy="942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DoubleDown Interactive Reports Second Quarter 2023 Financial Results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SEATTLE, WASHINGTON – August 8, 2023 — DoubleDown Interactive Co., Ltd. (NASDAQ: DDI) (“</w:t>
      </w:r>
      <w:r>
        <w:rPr>
          <w:rFonts w:ascii="Arial" w:cs="Arial" w:eastAsia="Arial" w:hAnsi="Arial"/>
          <w:sz w:val="18"/>
          <w:szCs w:val="18"/>
          <w:u w:val="single" w:color="auto"/>
          <w:color w:val="auto"/>
        </w:rPr>
        <w:t>DoubleDown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 leading developer and publisher of digital games on mobile and web-based platforms, today announced its unaudited financial results for the second quarter ended June 30,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vs. Second Quarter 2022 Summary:</w:t>
      </w:r>
    </w:p>
    <w:p>
      <w:pPr>
        <w:spacing w:after="0" w:line="135"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$75.2 million in the second quarter of 2023 compared to $80.6 million in the second quarter of 2022.</w:t>
      </w:r>
    </w:p>
    <w:p>
      <w:pPr>
        <w:spacing w:after="0" w:line="130" w:lineRule="exact"/>
        <w:rPr>
          <w:rFonts w:ascii="Arial" w:cs="Arial" w:eastAsia="Arial" w:hAnsi="Arial"/>
          <w:sz w:val="18"/>
          <w:szCs w:val="18"/>
          <w:color w:val="auto"/>
        </w:rPr>
      </w:pPr>
    </w:p>
    <w:p>
      <w:pPr>
        <w:ind w:left="980" w:right="100" w:hanging="433"/>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Operating costs of $47.7 million in the second quarter of 2023, a decline from $128.6 million in the second quarter of 2022, primarily due to the $71.5 million non-cash accrual in General and Administrative in second quarter 2022 which did not recur in second quarter 2023 associated with legal proceedings related to the previously disclosed </w:t>
      </w:r>
      <w:r>
        <w:rPr>
          <w:rFonts w:ascii="Arial" w:cs="Arial" w:eastAsia="Arial" w:hAnsi="Arial"/>
          <w:sz w:val="18"/>
          <w:szCs w:val="18"/>
          <w:i w:val="1"/>
          <w:iCs w:val="1"/>
          <w:color w:val="auto"/>
        </w:rPr>
        <w:t>Benson</w:t>
      </w:r>
      <w:r>
        <w:rPr>
          <w:rFonts w:ascii="Arial" w:cs="Arial" w:eastAsia="Arial" w:hAnsi="Arial"/>
          <w:sz w:val="18"/>
          <w:szCs w:val="18"/>
          <w:color w:val="auto"/>
        </w:rPr>
        <w:t xml:space="preserve"> litigation, with the remainder of the reduction primarily reflecting lower cost of revenue, and decreased marketing and amortization expenses.</w:t>
      </w:r>
    </w:p>
    <w:p>
      <w:pPr>
        <w:spacing w:after="0" w:line="92" w:lineRule="exact"/>
        <w:rPr>
          <w:rFonts w:ascii="Arial" w:cs="Arial" w:eastAsia="Arial" w:hAnsi="Arial"/>
          <w:sz w:val="18"/>
          <w:szCs w:val="18"/>
          <w:color w:val="auto"/>
        </w:rPr>
      </w:pPr>
    </w:p>
    <w:p>
      <w:pPr>
        <w:ind w:left="980" w:right="120" w:hanging="433"/>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of $27.6 million for the second quarter of 2023, an increase from $25.0 million for the second quarter of 2022, primarily due to lower sales and marketing expenses. Accordingly, the adjusted EBITDA margin increased to 36.7% in the second quarter of 2023 from 32.7% in the second quarter of 2022.</w:t>
      </w:r>
    </w:p>
    <w:p>
      <w:pPr>
        <w:spacing w:after="0" w:line="89" w:lineRule="exact"/>
        <w:rPr>
          <w:rFonts w:ascii="Arial" w:cs="Arial" w:eastAsia="Arial" w:hAnsi="Arial"/>
          <w:sz w:val="18"/>
          <w:szCs w:val="18"/>
          <w:color w:val="auto"/>
        </w:rPr>
      </w:pPr>
    </w:p>
    <w:p>
      <w:pPr>
        <w:ind w:left="980" w:right="80" w:hanging="433"/>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of $24.4 million, or earnings per fully diluted common share of $9.83 ($0.49 per American Depositary Share (“</w:t>
      </w:r>
      <w:r>
        <w:rPr>
          <w:rFonts w:ascii="Arial" w:cs="Arial" w:eastAsia="Arial" w:hAnsi="Arial"/>
          <w:sz w:val="18"/>
          <w:szCs w:val="18"/>
          <w:u w:val="single" w:color="auto"/>
          <w:color w:val="auto"/>
        </w:rPr>
        <w:t>ADS</w:t>
      </w:r>
      <w:r>
        <w:rPr>
          <w:rFonts w:ascii="Arial" w:cs="Arial" w:eastAsia="Arial" w:hAnsi="Arial"/>
          <w:sz w:val="18"/>
          <w:szCs w:val="18"/>
          <w:color w:val="auto"/>
        </w:rPr>
        <w:t>”)), in the second quarter of 2023, compared to a loss of $34.1 million, or a loss of $13.75 per fully diluted common share (($0.69) per ADS), in the second quarter of 2022. Note each ADS represents 0.05 share of a common share.</w:t>
      </w:r>
    </w:p>
    <w:p>
      <w:pPr>
        <w:spacing w:after="0" w:line="89" w:lineRule="exact"/>
        <w:rPr>
          <w:rFonts w:ascii="Arial" w:cs="Arial" w:eastAsia="Arial" w:hAnsi="Arial"/>
          <w:sz w:val="18"/>
          <w:szCs w:val="18"/>
          <w:color w:val="auto"/>
        </w:rPr>
      </w:pPr>
    </w:p>
    <w:p>
      <w:pPr>
        <w:ind w:left="980" w:right="160" w:hanging="4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Revenue Per Daily Active User (“</w:t>
      </w:r>
      <w:r>
        <w:rPr>
          <w:rFonts w:ascii="Arial" w:cs="Arial" w:eastAsia="Arial" w:hAnsi="Arial"/>
          <w:sz w:val="18"/>
          <w:szCs w:val="18"/>
          <w:u w:val="single" w:color="auto"/>
          <w:color w:val="auto"/>
        </w:rPr>
        <w:t>ARPDAU</w:t>
      </w:r>
      <w:r>
        <w:rPr>
          <w:rFonts w:ascii="Arial" w:cs="Arial" w:eastAsia="Arial" w:hAnsi="Arial"/>
          <w:sz w:val="18"/>
          <w:szCs w:val="18"/>
          <w:color w:val="auto"/>
        </w:rPr>
        <w:t>”) increased to $1.05 in the second quarter of 2023 from $0.95 in the second quarter of 2022.</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monthly revenue per payer increased to $235 in the second quarter of 2023 from $226 in the second quarter of 2022.</w:t>
      </w:r>
    </w:p>
    <w:p>
      <w:pPr>
        <w:spacing w:after="0" w:line="117"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“Our business performed well in the second quarter as Adjusted EBITDA increased more than 10% year over year and we generated approximately $38 million in operating cash flow, excluding the final litigation settlement payment,” said In Keuk Kim, Chief Executive Officer of DoubleDown. “ARPDAU and average monthly revenue per player rose 11% and 4%, respectively, compared to the second quarter of 2022. DoubleDown’s attractive business model combined with our disciplined focus on managing operating expenses delivers solid Adjusted EBITDA margins as demonstrated by the 34.7% margin through the first six months of 2023, a 290-basis point improvement over the comparable period in 2022.</w:t>
      </w:r>
    </w:p>
    <w:p>
      <w:pPr>
        <w:spacing w:after="0" w:line="84" w:lineRule="exact"/>
        <w:rPr>
          <w:sz w:val="20"/>
          <w:szCs w:val="20"/>
          <w:color w:val="auto"/>
        </w:rPr>
      </w:pPr>
    </w:p>
    <w:p>
      <w:pPr>
        <w:ind w:left="440" w:right="20"/>
        <w:spacing w:after="0" w:line="279" w:lineRule="auto"/>
        <w:rPr>
          <w:sz w:val="20"/>
          <w:szCs w:val="20"/>
          <w:color w:val="auto"/>
        </w:rPr>
      </w:pPr>
      <w:r>
        <w:rPr>
          <w:rFonts w:ascii="Arial" w:cs="Arial" w:eastAsia="Arial" w:hAnsi="Arial"/>
          <w:sz w:val="17"/>
          <w:szCs w:val="17"/>
          <w:color w:val="auto"/>
        </w:rPr>
        <w:t>“Our ability to consistently generate positive cash flow, combined with our strong balance sheet with more than $150 million in uncommitted capital, provides us with the flexibility to invest in new gaming categories and high addressable market opportunities such as iGaming through our pending acquisition of SuprNation, which is expected to close later this year. We are encouraged by our performance in the first half of the year and expect to continue generating attractive cash flow over the balance of 2023 and beyond.”</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Summary Operating Results for Double Down Interactive (Unaudited)</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 ($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contingency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Adjusted EBITDA ($ MM)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 MM)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 margin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Non-financial performance metrics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Average MAUs (000s)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1,918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Average DAUs (000s)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ARPDAU</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Average monthly revenue per payer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Payer conversion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2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Revenue in the second quarter of 2023 was $75.2 million, representing a 7% decrease from the second quarter of 2022. The decrease primarily reflects the further normalization of player activities following the lifting of COVID-related restrictions and more normalized consumer entertainment-focused behavior in 2023 compared to the prior year, as well as changes in player behaviors as a result of inflation and global economic concerns.</w:t>
      </w:r>
    </w:p>
    <w:p>
      <w:pPr>
        <w:spacing w:after="0" w:line="14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Operating expenses in the second quarter of 2023 were $47.7 million, a 63% decrease from the second quarter of 2022. The decrease in operating expenses was primarily due to lower cost of revenue and reflects the $71.5 million non-cash accrual noted above, with the remainder primarily reflecting lower sales, and decreases in marketing and amortization expenses in the second quarter of 2023 as compared to the second quarter of 2022.</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recorded net income of $24.4 million in the second quarter of 2023, or $9.83 per fully diluted common share ($0.49 per ADS), as compared to a net loss of $34.1 million, or a loss of $13.75 per fully diluted common share (($0.69) per ADS) in the second quarter of 2022. The net loss includes the impact of the non-cash accrual of $71.5 million noted. The increase in net income also reflects lower marketing expenditures and amortization expenses, partially offset by a decline in revenue. Note each ADS represents 0.05 share of a common share.</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Adjusted EBITDA in the second quarter of 2023 was $27.6 million, compared to $25.0 million in the second quarter of 2022. The increase was primarily due to lower sales and marketing expenses, partially offset by a decline in revenue.</w:t>
      </w:r>
    </w:p>
    <w:p>
      <w:pPr>
        <w:spacing w:after="0" w:line="17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 xml:space="preserve">Net cash flows used in operating activities for the second quarter of 2023 were $56.8 million, compared to net cash flows provided by operating activities of $21.1 million in the second quarter of 2022. The decrease was primarily due to the final payment of $95.25 million towards the </w:t>
      </w:r>
      <w:r>
        <w:rPr>
          <w:rFonts w:ascii="Arial" w:cs="Arial" w:eastAsia="Arial" w:hAnsi="Arial"/>
          <w:sz w:val="17"/>
          <w:szCs w:val="17"/>
          <w:i w:val="1"/>
          <w:iCs w:val="1"/>
          <w:color w:val="auto"/>
        </w:rPr>
        <w:t>Benson</w:t>
      </w:r>
      <w:r>
        <w:rPr>
          <w:rFonts w:ascii="Arial" w:cs="Arial" w:eastAsia="Arial" w:hAnsi="Arial"/>
          <w:sz w:val="17"/>
          <w:szCs w:val="17"/>
          <w:color w:val="auto"/>
        </w:rPr>
        <w:t xml:space="preserve"> litigation settlement. Excluding such payment, net cash flows provided by operating activities was $38.4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DoubleDown will hold a conference call today (August 8, 2023) at 5:00 p.m. Eastern Time (2:00 p.m. Pacific Time) to discuss these results. A question-and-answer session will follow management’s presentation.</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To access the call, please use the following link: </w:t>
      </w:r>
      <w:r>
        <w:rPr>
          <w:rFonts w:ascii="Arial" w:cs="Arial" w:eastAsia="Arial" w:hAnsi="Arial"/>
          <w:sz w:val="18"/>
          <w:szCs w:val="18"/>
          <w:u w:val="single" w:color="auto"/>
          <w:color w:val="auto"/>
        </w:rPr>
        <w:t>DoubleDown Second Quarter 2023 Earnings Call</w:t>
      </w:r>
      <w:r>
        <w:rPr>
          <w:rFonts w:ascii="Arial" w:cs="Arial" w:eastAsia="Arial" w:hAnsi="Arial"/>
          <w:sz w:val="18"/>
          <w:szCs w:val="18"/>
          <w:color w:val="auto"/>
        </w:rPr>
        <w:t>. After registering, an email will be sent, including dial-in details and a unique conference call access code required to join the live call. To ensure you are connected prior to the beginning of the call, please register a minimum of 15 minutes before the start of the call.</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A simultaneous webcast of the conference call will be available with the following link: </w:t>
      </w:r>
      <w:r>
        <w:rPr>
          <w:rFonts w:ascii="Arial" w:cs="Arial" w:eastAsia="Arial" w:hAnsi="Arial"/>
          <w:sz w:val="18"/>
          <w:szCs w:val="18"/>
          <w:u w:val="single" w:color="auto"/>
          <w:color w:val="auto"/>
        </w:rPr>
        <w:t>DoubleDown Second Quarter 2023 Earnings Webcast</w:t>
      </w:r>
      <w:r>
        <w:rPr>
          <w:rFonts w:ascii="Arial" w:cs="Arial" w:eastAsia="Arial" w:hAnsi="Arial"/>
          <w:sz w:val="18"/>
          <w:szCs w:val="18"/>
          <w:color w:val="auto"/>
        </w:rPr>
        <w:t xml:space="preserve">, or via the Investor Relations page of the DoubleDown website at </w:t>
      </w:r>
      <w:r>
        <w:rPr>
          <w:rFonts w:ascii="Arial" w:cs="Arial" w:eastAsia="Arial" w:hAnsi="Arial"/>
          <w:sz w:val="18"/>
          <w:szCs w:val="18"/>
          <w:u w:val="single" w:color="auto"/>
          <w:color w:val="auto"/>
        </w:rPr>
        <w:t>ir.doubledowninteractive.com</w:t>
      </w:r>
      <w:r>
        <w:rPr>
          <w:rFonts w:ascii="Arial" w:cs="Arial" w:eastAsia="Arial" w:hAnsi="Arial"/>
          <w:sz w:val="18"/>
          <w:szCs w:val="18"/>
          <w:color w:val="auto"/>
        </w:rPr>
        <w:t>. For those not planning to ask a question on the conference call, the Company recommends listening via the webcast.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on the Company’s Investor Relations website shortly after the event.</w:t>
      </w:r>
    </w:p>
    <w:p>
      <w:pPr>
        <w:sectPr>
          <w:pgSz w:w="11900" w:h="16838" w:orient="portrait"/>
          <w:cols w:equalWidth="0" w:num="1">
            <w:col w:w="11000"/>
          </w:cols>
          <w:pgMar w:left="440" w:top="486"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DoubleDown Interactive</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Our flagship title, </w:t>
      </w:r>
      <w:r>
        <w:rPr>
          <w:rFonts w:ascii="Arial" w:cs="Arial" w:eastAsia="Arial" w:hAnsi="Arial"/>
          <w:sz w:val="18"/>
          <w:szCs w:val="18"/>
          <w:i w:val="1"/>
          <w:iCs w:val="1"/>
          <w:color w:val="auto"/>
        </w:rPr>
        <w:t>DoubleDown Casino</w:t>
      </w:r>
      <w:r>
        <w:rPr>
          <w:rFonts w:ascii="Arial" w:cs="Arial" w:eastAsia="Arial" w:hAnsi="Arial"/>
          <w:sz w:val="18"/>
          <w:szCs w:val="18"/>
          <w:color w:val="auto"/>
        </w:rPr>
        <w:t>, has been a fan-favorite game on leading social and mobile platforms for years, entertaining millions of players worldwide with a lineup of classic and modern games.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Safe Harbor Statement</w:t>
      </w:r>
    </w:p>
    <w:p>
      <w:pPr>
        <w:spacing w:after="0" w:line="11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21" w:lineRule="exact"/>
        <w:rPr>
          <w:sz w:val="20"/>
          <w:szCs w:val="20"/>
          <w:color w:val="auto"/>
        </w:rPr>
      </w:pPr>
    </w:p>
    <w:p>
      <w:pPr>
        <w:ind w:left="4" w:right="200"/>
        <w:spacing w:after="0" w:line="290" w:lineRule="auto"/>
        <w:rPr>
          <w:sz w:val="20"/>
          <w:szCs w:val="20"/>
          <w:color w:val="auto"/>
        </w:rPr>
      </w:pPr>
      <w:r>
        <w:rPr>
          <w:rFonts w:ascii="Arial" w:cs="Arial" w:eastAsia="Arial" w:hAnsi="Arial"/>
          <w:sz w:val="16"/>
          <w:szCs w:val="16"/>
          <w:color w:val="auto"/>
        </w:rPr>
        <w:t>In addition to our results determined in accordance with the accounting principles generally accepted in the United States of America (“</w:t>
      </w:r>
      <w:r>
        <w:rPr>
          <w:rFonts w:ascii="Arial" w:cs="Arial" w:eastAsia="Arial" w:hAnsi="Arial"/>
          <w:sz w:val="16"/>
          <w:szCs w:val="16"/>
          <w:u w:val="single" w:color="auto"/>
          <w:color w:val="auto"/>
        </w:rPr>
        <w:t>GAAP</w:t>
      </w:r>
      <w:r>
        <w:rPr>
          <w:rFonts w:ascii="Arial" w:cs="Arial" w:eastAsia="Arial" w:hAnsi="Arial"/>
          <w:sz w:val="16"/>
          <w:szCs w:val="16"/>
          <w:color w:val="auto"/>
        </w:rPr>
        <w:t>”), we believe the following non-GAAP financial measure is useful in evaluating our operating performance. We present “</w:t>
      </w:r>
      <w:r>
        <w:rPr>
          <w:rFonts w:ascii="Arial" w:cs="Arial" w:eastAsia="Arial" w:hAnsi="Arial"/>
          <w:sz w:val="16"/>
          <w:szCs w:val="16"/>
          <w:i w:val="1"/>
          <w:iCs w:val="1"/>
          <w:color w:val="auto"/>
        </w:rPr>
        <w:t>adjusted earnings before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taxes, depreciation and amortization</w:t>
      </w:r>
      <w:r>
        <w:rPr>
          <w:rFonts w:ascii="Arial" w:cs="Arial" w:eastAsia="Arial" w:hAnsi="Arial"/>
          <w:sz w:val="16"/>
          <w:szCs w:val="16"/>
          <w:color w:val="auto"/>
        </w:rPr>
        <w:t>” (“</w:t>
      </w:r>
      <w:r>
        <w:rPr>
          <w:rFonts w:ascii="Arial" w:cs="Arial" w:eastAsia="Arial" w:hAnsi="Arial"/>
          <w:sz w:val="16"/>
          <w:szCs w:val="16"/>
          <w:u w:val="single" w:color="auto"/>
          <w:color w:val="auto"/>
        </w:rPr>
        <w:t>Adjusted EBITDA</w:t>
      </w:r>
      <w:r>
        <w:rPr>
          <w:rFonts w:ascii="Arial" w:cs="Arial" w:eastAsia="Arial" w:hAnsi="Arial"/>
          <w:sz w:val="16"/>
          <w:szCs w:val="16"/>
          <w:color w:val="auto"/>
        </w:rPr>
        <w:t>”) because we believe it assists investors and analysts by facilitating comparison of</w:t>
      </w:r>
      <w:r>
        <w:rPr>
          <w:rFonts w:ascii="Arial" w:cs="Arial" w:eastAsia="Arial" w:hAnsi="Arial"/>
          <w:sz w:val="16"/>
          <w:szCs w:val="16"/>
          <w:i w:val="1"/>
          <w:iCs w:val="1"/>
          <w:color w:val="auto"/>
        </w:rPr>
        <w:t xml:space="preserve"> </w:t>
      </w:r>
      <w:r>
        <w:rPr>
          <w:rFonts w:ascii="Arial" w:cs="Arial" w:eastAsia="Arial" w:hAnsi="Arial"/>
          <w:sz w:val="16"/>
          <w:szCs w:val="16"/>
          <w:color w:val="auto"/>
        </w:rPr>
        <w:t>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superior to, the financial information prepared in accordance with GAAP, and should be read in conjunction with the financial statements furnished in our report on Form 6-K to be filed with the SEC.</w:t>
      </w:r>
    </w:p>
    <w:p>
      <w:pPr>
        <w:spacing w:after="0" w:line="165"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 xml:space="preserve">In our reconciliation from our reported GAAP “net income before provision for taxes” to our Adjusted EBITDA, we eliminate the impact of the following seven line items: (i)depreciation and amortization; (ii) loss contingency related to the </w:t>
      </w:r>
      <w:r>
        <w:rPr>
          <w:rFonts w:ascii="Arial" w:cs="Arial" w:eastAsia="Arial" w:hAnsi="Arial"/>
          <w:sz w:val="16"/>
          <w:szCs w:val="16"/>
          <w:i w:val="1"/>
          <w:iCs w:val="1"/>
          <w:color w:val="auto"/>
        </w:rPr>
        <w:t>Benson</w:t>
      </w:r>
      <w:r>
        <w:rPr>
          <w:rFonts w:ascii="Arial" w:cs="Arial" w:eastAsia="Arial" w:hAnsi="Arial"/>
          <w:sz w:val="16"/>
          <w:szCs w:val="16"/>
          <w:color w:val="auto"/>
        </w:rPr>
        <w:t xml:space="preserve"> case; (iii) interest income; (iv) interest expense;</w:t>
      </w:r>
    </w:p>
    <w:p>
      <w:pPr>
        <w:ind w:left="4" w:right="240" w:hanging="4"/>
        <w:spacing w:after="0" w:line="260"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currency transaction/remeasurement (gain) loss; (vi) short-term investments (gain) loss; and (vii) other (income) expense, net. The below table sets forth the full reconciliation of our non-GAAP measures:</w:t>
      </w:r>
    </w:p>
    <w:p>
      <w:pPr>
        <w:sectPr>
          <w:pgSz w:w="11900" w:h="16838" w:orient="portrait"/>
          <w:cols w:equalWidth="0" w:num="1">
            <w:col w:w="10924"/>
          </w:cols>
          <w:pgMar w:left="436" w:top="486" w:right="539" w:bottom="1440" w:gutter="0" w:footer="0" w:header="0"/>
        </w:sectPr>
      </w:pPr>
    </w:p>
    <w:bookmarkStart w:id="7" w:name="page8"/>
    <w:bookmarkEnd w:id="7"/>
    <w:tbl>
      <w:tblPr>
        <w:tblLayout w:type="fixed"/>
        <w:tblInd w:w="4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non-GAAP measures</w:t>
            </w:r>
          </w:p>
        </w:tc>
        <w:tc>
          <w:tcPr>
            <w:tcW w:w="5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9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87"/>
              </w:rPr>
              <w:t>(in millions, except percentages)</w:t>
            </w:r>
          </w:p>
        </w:tc>
        <w:tc>
          <w:tcPr>
            <w:tcW w:w="47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r>
      <w:tr>
        <w:trPr>
          <w:trHeight w:val="209"/>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$ 24.4</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$ 48.0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$(15.6)</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800" w:type="dxa"/>
            <w:vAlign w:val="bottom"/>
            <w:gridSpan w:val="2"/>
          </w:tcPr>
          <w:p>
            <w:pPr>
              <w:jc w:val="right"/>
              <w:ind w:right="168"/>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(14.3)</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Adjustments for:</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Loss contingency</w:t>
            </w: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0.9</w:t>
            </w: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transaction/remeasurement gain</w:t>
            </w: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Short-term investments loss</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0.1</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$ 27.6</w:t>
            </w:r>
          </w:p>
        </w:tc>
        <w:tc>
          <w:tcPr>
            <w:tcW w:w="3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$ 53.0</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$ 51.9</w:t>
            </w:r>
          </w:p>
        </w:tc>
        <w:tc>
          <w:tcPr>
            <w:tcW w:w="1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 encourage investors and others to review our financial information in its entirety and not to rely on any single financial measure.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Joe Sigrist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ir@doubledown.com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(206) 773-2266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https://www.doubledowninteractive.com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Jaffoni or Richard 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835-8500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DDI@jcir.com</w:t>
      </w:r>
    </w:p>
    <w:p>
      <w:pPr>
        <w:sectPr>
          <w:pgSz w:w="11900" w:h="16838" w:orient="portrait"/>
          <w:cols w:equalWidth="0" w:num="1">
            <w:col w:w="10560"/>
          </w:cols>
          <w:pgMar w:left="440" w:top="469" w:right="8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DoubleDown Interactive Co.,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184,471</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60,664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26,841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277,152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312,882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35,049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379,072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45,307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740,742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13,481</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operating lease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Loss contingency</w:t>
            </w: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borrowings with related party</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38,087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10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165,826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KRW 10,000 par value - 200,000,000 Shares authorized; 2,477,672 issued and outstanding</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359,280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17,905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274,416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672,799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626,226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740,742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86"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DoubleDown Interactive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4"/>
                <w:szCs w:val="14"/>
                <w:color w:val="auto"/>
              </w:rPr>
            </w:pPr>
          </w:p>
        </w:tc>
        <w:tc>
          <w:tcPr>
            <w:tcW w:w="204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80,570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152,783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166,056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Cost of revenue</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27,497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50,624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56,345</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13,103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18,051</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29,148</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4,333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10,112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77,180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9,882</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82,450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47,665</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128,554</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99,869</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(47,984</w:t>
            </w:r>
          </w:p>
        </w:tc>
        <w:tc>
          <w:tcPr>
            <w:tcW w:w="4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7,379</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transactions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Gain (loss) on foreign currency remeasurement</w:t>
            </w: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5,646</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short-term investments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(4,045)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(46,078</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62,349</w:t>
            </w:r>
          </w:p>
        </w:tc>
        <w:tc>
          <w:tcPr>
            <w:tcW w:w="4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48,029</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translation</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(37,343</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46,573</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(13.75)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2,477,672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87"/>
              </w:rPr>
              <w:t>2,477,672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2,477,672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2,477,672</w:t>
            </w:r>
          </w:p>
        </w:tc>
        <w:tc>
          <w:tcPr>
            <w:tcW w:w="0" w:type="dxa"/>
            <w:vAlign w:val="bottom"/>
          </w:tcPr>
          <w:p>
            <w:pPr>
              <w:spacing w:after="0"/>
              <w:rPr>
                <w:sz w:val="1"/>
                <w:szCs w:val="1"/>
                <w:color w:val="auto"/>
              </w:rPr>
            </w:pP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2,477,672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w w:val="87"/>
              </w:rPr>
              <w:t>2,477,672</w:t>
            </w:r>
          </w:p>
        </w:tc>
        <w:tc>
          <w:tcPr>
            <w:tcW w:w="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2,477,672</w:t>
            </w:r>
          </w:p>
        </w:tc>
        <w:tc>
          <w:tcPr>
            <w:tcW w:w="8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2,477,672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Excluding depreciation and amortization.</w:t>
      </w:r>
    </w:p>
    <w:p>
      <w:pPr>
        <w:sectPr>
          <w:pgSz w:w="11900" w:h="16838" w:orient="portrait"/>
          <w:cols w:equalWidth="0" w:num="1">
            <w:col w:w="11020"/>
          </w:cols>
          <w:pgMar w:left="440" w:top="486"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DoubleDown Interactive Co., Ltd.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7"/>
          </w:tcPr>
          <w:p>
            <w:pPr>
              <w:jc w:val="right"/>
              <w:ind w:right="12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48,029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remeasurement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Loss on 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other current and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payables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(94,121)</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75,046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operating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(37,595)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(61,325)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(235,391)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66,440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141,001</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(94,486)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(used in)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cash flows from (used in) financing activities:</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(32,881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(49,152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620" w:type="dxa"/>
            <w:vAlign w:val="bottom"/>
            <w:tcBorders>
              <w:top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217,352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184,471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192,908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year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bl>
    <w:p>
      <w:pPr>
        <w:sectPr>
          <w:pgSz w:w="11900" w:h="16838" w:orient="portrait"/>
          <w:cols w:equalWidth="0" w:num="1">
            <w:col w:w="11020"/>
          </w:cols>
          <w:pgMar w:left="440" w:top="486" w:right="4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240" w:type="dxa"/>
            <w:vAlign w:val="bottom"/>
          </w:tcPr>
          <w:p>
            <w:pPr>
              <w:ind w:left="1300"/>
              <w:spacing w:after="0"/>
              <w:rPr>
                <w:sz w:val="20"/>
                <w:szCs w:val="20"/>
                <w:color w:val="auto"/>
              </w:rPr>
            </w:pPr>
            <w:r>
              <w:rPr>
                <w:rFonts w:ascii="Arial" w:cs="Arial" w:eastAsia="Arial" w:hAnsi="Arial"/>
                <w:sz w:val="18"/>
                <w:szCs w:val="18"/>
                <w:b w:val="1"/>
                <w:bCs w:val="1"/>
                <w:color w:val="auto"/>
                <w:w w:val="91"/>
              </w:rPr>
              <w:t>Exhibit 99.2</w:t>
            </w: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DoubleDown Interactive Co., Ltd.</w:t>
            </w:r>
          </w:p>
        </w:tc>
        <w:tc>
          <w:tcPr>
            <w:tcW w:w="2240" w:type="dxa"/>
            <w:vAlign w:val="bottom"/>
          </w:tcPr>
          <w:p>
            <w:pPr>
              <w:spacing w:after="0"/>
              <w:rPr>
                <w:sz w:val="24"/>
                <w:szCs w:val="24"/>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2240" w:type="dxa"/>
            <w:vAlign w:val="bottom"/>
          </w:tcPr>
          <w:p>
            <w:pPr>
              <w:spacing w:after="0"/>
              <w:rPr>
                <w:sz w:val="24"/>
                <w:szCs w:val="24"/>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June 30, 2023 and June 30, 2022</w:t>
            </w:r>
          </w:p>
        </w:tc>
        <w:tc>
          <w:tcPr>
            <w:tcW w:w="2240" w:type="dxa"/>
            <w:vAlign w:val="bottom"/>
          </w:tcPr>
          <w:p>
            <w:pPr>
              <w:spacing w:after="0"/>
              <w:rPr>
                <w:sz w:val="24"/>
                <w:szCs w:val="24"/>
                <w:color w:val="auto"/>
              </w:rPr>
            </w:pPr>
          </w:p>
        </w:tc>
      </w:tr>
      <w:tr>
        <w:trPr>
          <w:trHeight w:val="540"/>
        </w:trPr>
        <w:tc>
          <w:tcPr>
            <w:tcW w:w="878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2240" w:type="dxa"/>
            <w:vAlign w:val="bottom"/>
          </w:tcPr>
          <w:p>
            <w:pPr>
              <w:spacing w:after="0"/>
              <w:rPr>
                <w:sz w:val="24"/>
                <w:szCs w:val="24"/>
                <w:color w:val="auto"/>
              </w:rPr>
            </w:pPr>
          </w:p>
        </w:tc>
      </w:tr>
      <w:tr>
        <w:trPr>
          <w:trHeight w:val="445"/>
        </w:trPr>
        <w:tc>
          <w:tcPr>
            <w:tcW w:w="8780" w:type="dxa"/>
            <w:vAlign w:val="bottom"/>
          </w:tcPr>
          <w:p>
            <w:pPr>
              <w:spacing w:after="0"/>
              <w:rPr>
                <w:sz w:val="20"/>
                <w:szCs w:val="20"/>
                <w:color w:val="auto"/>
              </w:rPr>
            </w:pPr>
            <w:r>
              <w:rPr>
                <w:rFonts w:ascii="Arial" w:cs="Arial" w:eastAsia="Arial" w:hAnsi="Arial"/>
                <w:sz w:val="18"/>
                <w:szCs w:val="18"/>
                <w:color w:val="auto"/>
              </w:rPr>
              <w:t>Consolidated Financial Statements as of and for the three and six months ended June 30, 2023 and 2022</w:t>
            </w:r>
          </w:p>
        </w:tc>
        <w:tc>
          <w:tcPr>
            <w:tcW w:w="2240" w:type="dxa"/>
            <w:vAlign w:val="bottom"/>
          </w:tcPr>
          <w:p>
            <w:pPr>
              <w:spacing w:after="0"/>
              <w:rPr>
                <w:sz w:val="24"/>
                <w:szCs w:val="24"/>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Condensed Consolidated Statements of Income and Comprehensive Income</w:t>
            </w:r>
          </w:p>
        </w:tc>
        <w:tc>
          <w:tcPr>
            <w:tcW w:w="2240" w:type="dxa"/>
            <w:vAlign w:val="bottom"/>
          </w:tcPr>
          <w:p>
            <w:pPr>
              <w:ind w:left="1940"/>
              <w:spacing w:after="0"/>
              <w:rPr>
                <w:sz w:val="20"/>
                <w:szCs w:val="20"/>
                <w:color w:val="auto"/>
              </w:rPr>
            </w:pPr>
            <w:r>
              <w:rPr>
                <w:rFonts w:ascii="Arial" w:cs="Arial" w:eastAsia="Arial" w:hAnsi="Arial"/>
                <w:sz w:val="18"/>
                <w:szCs w:val="18"/>
                <w:color w:val="auto"/>
              </w:rPr>
              <w:t>F-2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Condensed Consolidated Balance Sheets</w:t>
            </w:r>
          </w:p>
        </w:tc>
        <w:tc>
          <w:tcPr>
            <w:tcW w:w="2240" w:type="dxa"/>
            <w:vAlign w:val="bottom"/>
          </w:tcPr>
          <w:p>
            <w:pPr>
              <w:ind w:left="1940"/>
              <w:spacing w:after="0"/>
              <w:rPr>
                <w:sz w:val="20"/>
                <w:szCs w:val="20"/>
                <w:color w:val="auto"/>
              </w:rPr>
            </w:pPr>
            <w:r>
              <w:rPr>
                <w:rFonts w:ascii="Arial" w:cs="Arial" w:eastAsia="Arial" w:hAnsi="Arial"/>
                <w:sz w:val="18"/>
                <w:szCs w:val="18"/>
                <w:color w:val="auto"/>
              </w:rPr>
              <w:t>F-3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2240" w:type="dxa"/>
            <w:vAlign w:val="bottom"/>
          </w:tcPr>
          <w:p>
            <w:pPr>
              <w:ind w:left="1940"/>
              <w:spacing w:after="0"/>
              <w:rPr>
                <w:sz w:val="20"/>
                <w:szCs w:val="20"/>
                <w:color w:val="auto"/>
              </w:rPr>
            </w:pPr>
            <w:r>
              <w:rPr>
                <w:rFonts w:ascii="Arial" w:cs="Arial" w:eastAsia="Arial" w:hAnsi="Arial"/>
                <w:sz w:val="18"/>
                <w:szCs w:val="18"/>
                <w:color w:val="auto"/>
              </w:rPr>
              <w:t>F-4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Condensed Consolidated Statements of Cash Flows</w:t>
            </w:r>
          </w:p>
        </w:tc>
        <w:tc>
          <w:tcPr>
            <w:tcW w:w="2240" w:type="dxa"/>
            <w:vAlign w:val="bottom"/>
          </w:tcPr>
          <w:p>
            <w:pPr>
              <w:ind w:left="1940"/>
              <w:spacing w:after="0"/>
              <w:rPr>
                <w:sz w:val="20"/>
                <w:szCs w:val="20"/>
                <w:color w:val="auto"/>
              </w:rPr>
            </w:pPr>
            <w:r>
              <w:rPr>
                <w:rFonts w:ascii="Arial" w:cs="Arial" w:eastAsia="Arial" w:hAnsi="Arial"/>
                <w:sz w:val="18"/>
                <w:szCs w:val="18"/>
                <w:color w:val="auto"/>
              </w:rPr>
              <w:t>F-5</w:t>
            </w:r>
          </w:p>
        </w:tc>
      </w:tr>
      <w:tr>
        <w:trPr>
          <w:trHeight w:val="230"/>
        </w:trPr>
        <w:tc>
          <w:tcPr>
            <w:tcW w:w="8780" w:type="dxa"/>
            <w:vAlign w:val="bottom"/>
          </w:tcPr>
          <w:p>
            <w:pPr>
              <w:ind w:left="360"/>
              <w:spacing w:after="0"/>
              <w:rPr>
                <w:sz w:val="20"/>
                <w:szCs w:val="20"/>
                <w:color w:val="auto"/>
              </w:rPr>
            </w:pPr>
            <w:r>
              <w:rPr>
                <w:rFonts w:ascii="Arial" w:cs="Arial" w:eastAsia="Arial" w:hAnsi="Arial"/>
                <w:sz w:val="18"/>
                <w:szCs w:val="18"/>
                <w:color w:val="auto"/>
              </w:rPr>
              <w:t>Notes to Condensed Consolidated Financial Statements</w:t>
            </w:r>
          </w:p>
        </w:tc>
        <w:tc>
          <w:tcPr>
            <w:tcW w:w="2240" w:type="dxa"/>
            <w:vAlign w:val="bottom"/>
          </w:tcPr>
          <w:p>
            <w:pPr>
              <w:ind w:left="1940"/>
              <w:spacing w:after="0"/>
              <w:rPr>
                <w:sz w:val="20"/>
                <w:szCs w:val="20"/>
                <w:color w:val="auto"/>
              </w:rPr>
            </w:pPr>
            <w:r>
              <w:rPr>
                <w:rFonts w:ascii="Arial" w:cs="Arial" w:eastAsia="Arial" w:hAnsi="Arial"/>
                <w:sz w:val="18"/>
                <w:szCs w:val="18"/>
                <w:color w:val="auto"/>
              </w:rPr>
              <w:t>F-6</w:t>
            </w:r>
          </w:p>
        </w:tc>
      </w:tr>
    </w:tbl>
    <w:p>
      <w:pPr>
        <w:sectPr>
          <w:pgSz w:w="11900" w:h="16838" w:orient="portrait"/>
          <w:cols w:equalWidth="0" w:num="1">
            <w:col w:w="11020"/>
          </w:cols>
          <w:pgMar w:left="440" w:top="12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ind w:right="5060"/>
        <w:spacing w:after="0" w:line="361" w:lineRule="auto"/>
        <w:rPr>
          <w:sz w:val="20"/>
          <w:szCs w:val="20"/>
          <w:color w:val="auto"/>
        </w:rPr>
      </w:pPr>
      <w:r>
        <w:rPr>
          <w:rFonts w:ascii="Arial" w:cs="Arial" w:eastAsia="Arial" w:hAnsi="Arial"/>
          <w:sz w:val="15"/>
          <w:szCs w:val="15"/>
          <w:b w:val="1"/>
          <w:bCs w:val="1"/>
          <w:color w:val="auto"/>
        </w:rPr>
        <w:t>Condensed Consolidated Statements of Income and Comprehensive Income (unaudited, in thousands of U.S. Dollars,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4"/>
                <w:szCs w:val="14"/>
                <w:color w:val="auto"/>
              </w:rPr>
            </w:pPr>
          </w:p>
        </w:tc>
        <w:tc>
          <w:tcPr>
            <w:tcW w:w="216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75,187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152,783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13,103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29,148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line="21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77,180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9,882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47,665</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128,554</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99,869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189,356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(47,984</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7,379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transactions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Gain (loss) on foreign currency remeasurement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short-term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(4,045)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40" w:type="dxa"/>
            <w:vAlign w:val="bottom"/>
            <w:gridSpan w:val="2"/>
          </w:tcPr>
          <w:p>
            <w:pPr>
              <w:jc w:val="right"/>
              <w:ind w:right="28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(46,078</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translation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(37,343</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1"/>
              <w:spacing w:after="0"/>
              <w:rPr>
                <w:sz w:val="20"/>
                <w:szCs w:val="20"/>
                <w:color w:val="auto"/>
              </w:rPr>
            </w:pPr>
            <w:r>
              <w:rPr>
                <w:rFonts w:ascii="Arial" w:cs="Arial" w:eastAsia="Arial" w:hAnsi="Arial"/>
                <w:sz w:val="18"/>
                <w:szCs w:val="18"/>
                <w:color w:val="auto"/>
              </w:rPr>
              <w:t>(13.75)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2,477,672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2,477,672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2,477,672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2,477,672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2,477,672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2,477,672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2,477,672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2,477,672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Excluding depreciation and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020"/>
          </w:cols>
          <w:pgMar w:left="440" w:top="405"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4"/>
          </w:tcPr>
          <w:p>
            <w:pPr>
              <w:ind w:left="1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209"/>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(unaudited)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217,352</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67,891</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40" w:type="dxa"/>
            <w:vAlign w:val="bottom"/>
            <w:shd w:val="clear" w:color="auto" w:fill="CCEEFF"/>
          </w:tcPr>
          <w:p>
            <w:pPr>
              <w:spacing w:after="0"/>
              <w:rPr>
                <w:sz w:val="18"/>
                <w:szCs w:val="18"/>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4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312,882</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35,051</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379,072</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59,290</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tcPr>
          <w:p>
            <w:pPr>
              <w:spacing w:after="0"/>
              <w:rPr>
                <w:sz w:val="20"/>
                <w:szCs w:val="20"/>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13,481</w:t>
            </w:r>
          </w:p>
        </w:tc>
        <w:tc>
          <w:tcPr>
            <w:tcW w:w="220" w:type="dxa"/>
            <w:vAlign w:val="bottom"/>
          </w:tcPr>
          <w:p>
            <w:pPr>
              <w:spacing w:after="0"/>
              <w:rPr>
                <w:sz w:val="18"/>
                <w:szCs w:val="18"/>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13,830</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operating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Loss contingency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95,250</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borrowings with related party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4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116,482</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Long-term borrowings with 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 w:type="dxa"/>
            <w:vAlign w:val="bottom"/>
            <w:shd w:val="clear" w:color="auto" w:fill="CCEEFF"/>
          </w:tcPr>
          <w:p>
            <w:pPr>
              <w:spacing w:after="0"/>
              <w:rPr>
                <w:sz w:val="18"/>
                <w:szCs w:val="18"/>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w:t>
            </w:r>
          </w:p>
        </w:tc>
        <w:tc>
          <w:tcPr>
            <w:tcW w:w="4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165,826</w:t>
            </w:r>
          </w:p>
        </w:tc>
        <w:tc>
          <w:tcPr>
            <w:tcW w:w="40" w:type="dxa"/>
            <w:vAlign w:val="bottom"/>
            <w:shd w:val="clear" w:color="auto" w:fill="CCEEFF"/>
          </w:tcPr>
          <w:p>
            <w:pPr>
              <w:spacing w:after="0"/>
              <w:rPr>
                <w:sz w:val="18"/>
                <w:szCs w:val="18"/>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Common stock, KRW 10,000 par value - 200,000,000 Shares authorized; 2,477,672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4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359,280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359,280</w:t>
            </w:r>
          </w:p>
        </w:tc>
        <w:tc>
          <w:tcPr>
            <w:tcW w:w="4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40" w:type="dxa"/>
            <w:vAlign w:val="bottom"/>
            <w:shd w:val="clear" w:color="auto" w:fill="CCEEFF"/>
          </w:tcPr>
          <w:p>
            <w:pPr>
              <w:spacing w:after="0"/>
              <w:rPr>
                <w:sz w:val="18"/>
                <w:szCs w:val="18"/>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226,388</w:t>
            </w:r>
          </w:p>
        </w:tc>
        <w:tc>
          <w:tcPr>
            <w:tcW w:w="4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626,226</w:t>
            </w:r>
          </w:p>
        </w:tc>
        <w:tc>
          <w:tcPr>
            <w:tcW w:w="40" w:type="dxa"/>
            <w:vAlign w:val="bottom"/>
            <w:shd w:val="clear" w:color="auto" w:fill="CCEEFF"/>
          </w:tcPr>
          <w:p>
            <w:pPr>
              <w:spacing w:after="0"/>
              <w:rPr>
                <w:sz w:val="18"/>
                <w:szCs w:val="18"/>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792,052</w:t>
            </w:r>
          </w:p>
        </w:tc>
        <w:tc>
          <w:tcPr>
            <w:tcW w:w="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020"/>
          </w:cols>
          <w:pgMar w:left="440" w:top="405"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ind w:right="5460"/>
        <w:spacing w:after="0" w:line="323" w:lineRule="auto"/>
        <w:rPr>
          <w:sz w:val="20"/>
          <w:szCs w:val="20"/>
          <w:color w:val="auto"/>
        </w:rPr>
      </w:pPr>
      <w:r>
        <w:rPr>
          <w:rFonts w:ascii="Arial" w:cs="Arial" w:eastAsia="Arial" w:hAnsi="Arial"/>
          <w:sz w:val="16"/>
          <w:szCs w:val="16"/>
          <w:b w:val="1"/>
          <w:bCs w:val="1"/>
          <w:color w:val="auto"/>
        </w:rPr>
        <w:t>Condensed Consolidated Statements of Changes in Shareholders’ Equity (unaudited, in thousands of U.S. Dollars, except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 other</w:t>
            </w:r>
          </w:p>
        </w:tc>
        <w:tc>
          <w:tcPr>
            <w:tcW w:w="15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Retained earnings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58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2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income/(loss)</w:t>
            </w:r>
          </w:p>
        </w:tc>
        <w:tc>
          <w:tcPr>
            <w:tcW w:w="1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(deficit)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2023</w:t>
            </w: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As of April 1, 2023</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21,198</w:t>
            </w:r>
          </w:p>
        </w:tc>
        <w:tc>
          <w:tcPr>
            <w:tcW w:w="1240" w:type="dxa"/>
            <w:vAlign w:val="bottom"/>
            <w:gridSpan w:val="3"/>
          </w:tcPr>
          <w:p>
            <w:pPr>
              <w:ind w:left="500"/>
              <w:spacing w:after="0"/>
              <w:rPr>
                <w:sz w:val="20"/>
                <w:szCs w:val="20"/>
                <w:color w:val="auto"/>
              </w:rPr>
            </w:pPr>
            <w:r>
              <w:rPr>
                <w:rFonts w:ascii="Arial" w:cs="Arial" w:eastAsia="Arial" w:hAnsi="Arial"/>
                <w:sz w:val="18"/>
                <w:szCs w:val="18"/>
                <w:color w:val="auto"/>
              </w:rPr>
              <w:t>359,280</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18,022</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250,060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648,560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24,357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24,357</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Loss on foreign currency translation, net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As of June 30, 2023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w w:val="86"/>
              </w:rPr>
              <w:t>359,280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274,416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As of April 1, 2022</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21,198</w:t>
            </w:r>
          </w:p>
        </w:tc>
        <w:tc>
          <w:tcPr>
            <w:tcW w:w="1240" w:type="dxa"/>
            <w:vAlign w:val="bottom"/>
            <w:gridSpan w:val="3"/>
          </w:tcPr>
          <w:p>
            <w:pPr>
              <w:ind w:left="500"/>
              <w:spacing w:after="0"/>
              <w:rPr>
                <w:sz w:val="20"/>
                <w:szCs w:val="20"/>
                <w:color w:val="auto"/>
              </w:rPr>
            </w:pPr>
            <w:r>
              <w:rPr>
                <w:rFonts w:ascii="Arial" w:cs="Arial" w:eastAsia="Arial" w:hAnsi="Arial"/>
                <w:sz w:val="18"/>
                <w:szCs w:val="18"/>
                <w:color w:val="auto"/>
              </w:rPr>
              <w:t>671,831</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21,061</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166,311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880,401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(34,056)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Loss on foreign currency translation, net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As of June 30, 2022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w w:val="86"/>
              </w:rPr>
              <w:t>671,831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132,254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62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24"/>
                <w:szCs w:val="2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24"/>
                <w:szCs w:val="2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 other</w:t>
            </w:r>
          </w:p>
        </w:tc>
        <w:tc>
          <w:tcPr>
            <w:tcW w:w="15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Retained earnings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58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2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income/(loss)</w:t>
            </w:r>
          </w:p>
        </w:tc>
        <w:tc>
          <w:tcPr>
            <w:tcW w:w="1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(deficit)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2023</w:t>
            </w: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As of January 1, 2023</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21,198</w:t>
            </w:r>
          </w:p>
        </w:tc>
        <w:tc>
          <w:tcPr>
            <w:tcW w:w="1240" w:type="dxa"/>
            <w:vAlign w:val="bottom"/>
            <w:gridSpan w:val="3"/>
          </w:tcPr>
          <w:p>
            <w:pPr>
              <w:ind w:left="500"/>
              <w:spacing w:after="0"/>
              <w:rPr>
                <w:sz w:val="20"/>
                <w:szCs w:val="20"/>
                <w:color w:val="auto"/>
              </w:rPr>
            </w:pPr>
            <w:r>
              <w:rPr>
                <w:rFonts w:ascii="Arial" w:cs="Arial" w:eastAsia="Arial" w:hAnsi="Arial"/>
                <w:sz w:val="18"/>
                <w:szCs w:val="18"/>
                <w:color w:val="auto"/>
              </w:rPr>
              <w:t>359,280</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19,360</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226,388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626,226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48,029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48,029</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translation</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As of June 30, 2023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w w:val="86"/>
              </w:rPr>
              <w:t>359,280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274,416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As of January 1, 2022</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21,198</w:t>
            </w:r>
          </w:p>
        </w:tc>
        <w:tc>
          <w:tcPr>
            <w:tcW w:w="1240" w:type="dxa"/>
            <w:vAlign w:val="bottom"/>
            <w:gridSpan w:val="3"/>
          </w:tcPr>
          <w:p>
            <w:pPr>
              <w:ind w:left="500"/>
              <w:spacing w:after="0"/>
              <w:rPr>
                <w:sz w:val="20"/>
                <w:szCs w:val="20"/>
                <w:color w:val="auto"/>
              </w:rPr>
            </w:pPr>
            <w:r>
              <w:rPr>
                <w:rFonts w:ascii="Arial" w:cs="Arial" w:eastAsia="Arial" w:hAnsi="Arial"/>
                <w:sz w:val="18"/>
                <w:szCs w:val="18"/>
                <w:color w:val="auto"/>
              </w:rPr>
              <w:t>671,831</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23,033</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147,816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863,878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(15,562)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Pension adjustments, net of tax</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Loss on foreign currency translation, net</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tax</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(4,972)</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As of June 30, 2022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2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2,477,672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w w:val="86"/>
              </w:rPr>
              <w:t>671,831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132,254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020"/>
          </w:cols>
          <w:pgMar w:left="440" w:top="405"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7"/>
          </w:tcPr>
          <w:p>
            <w:pPr>
              <w:jc w:val="right"/>
              <w:ind w:right="12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48,029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foreign currency remeasurement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Loss on 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other current and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 payables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(94,121)</w:t>
            </w:r>
          </w:p>
        </w:tc>
        <w:tc>
          <w:tcPr>
            <w:tcW w:w="10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75,046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operating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(37,595)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flow from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(61,325)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(235,391)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66,440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141,001</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cash flows from (used in) investing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(94,486)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(used in)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cash flows from (used in) financing activities:</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(32,881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(49,152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620" w:type="dxa"/>
            <w:vAlign w:val="bottom"/>
            <w:tcBorders>
              <w:top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217,352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184,471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192,908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year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020"/>
          </w:cols>
          <w:pgMar w:left="440" w:top="405"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DoubleDown Interactive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nature of operations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DoubleDown Interactive Co., Ltd. (“DDI,” “we,” “us,” “our” or the “Company”)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The remaining 32.9% of our outstanding shares are held by STIC Special Situation Private Equity Fund (“STIC”, 20.2%) and the remainder by participants in our IPO</w:t>
      </w:r>
    </w:p>
    <w:p>
      <w:pPr>
        <w:spacing w:after="0" w:line="1"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(12.7%). In 2017, DDI acquired DoubleDown Interactive, LLC (“DDI-US”) from International Gaming Technologies (“IGT”) for approximately $825 million. DDI-US, with its principal place of business located in Seattle, Washington, is our primary revenue-generating entity.</w:t>
      </w:r>
    </w:p>
    <w:p>
      <w:pPr>
        <w:spacing w:after="0" w:line="16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We develop and publish digital gaming content on various mobile and web platforms through our multi-format interactive all-in-one game experience concept. We host </w:t>
      </w:r>
      <w:r>
        <w:rPr>
          <w:rFonts w:ascii="Arial" w:cs="Arial" w:eastAsia="Arial" w:hAnsi="Arial"/>
          <w:sz w:val="17"/>
          <w:szCs w:val="17"/>
          <w:i w:val="1"/>
          <w:iCs w:val="1"/>
          <w:color w:val="auto"/>
        </w:rPr>
        <w:t>DoubleDown Casino, DoubleDown Classic, DoubleDown Fort Knox and Undead World</w:t>
      </w:r>
      <w:r>
        <w:rPr>
          <w:rFonts w:ascii="Arial" w:cs="Arial" w:eastAsia="Arial" w:hAnsi="Arial"/>
          <w:sz w:val="17"/>
          <w:szCs w:val="17"/>
          <w:color w:val="auto"/>
        </w:rPr>
        <w:t xml:space="preserve"> within various formats.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September 2, 2021, DoubleDown Interactive Co., Ltd. filed its initial public offering (the “Offering”) of 6,316,000 American Depositary Shares (the “ADSs”), each representing 0.05 common share, with par value of </w:t>
      </w:r>
      <w:r>
        <w:rPr>
          <w:rFonts w:ascii="Arial" w:cs="Arial" w:eastAsia="Arial" w:hAnsi="Arial"/>
          <w:sz w:val="18"/>
          <w:szCs w:val="18"/>
          <w:color w:val="auto"/>
          <w:strike w:val="1"/>
        </w:rPr>
        <w:t>W</w:t>
      </w:r>
      <w:r>
        <w:rPr>
          <w:rFonts w:ascii="Arial" w:cs="Arial" w:eastAsia="Arial" w:hAnsi="Arial"/>
          <w:sz w:val="18"/>
          <w:szCs w:val="18"/>
          <w:color w:val="auto"/>
        </w:rPr>
        <w:t>10,000 per share, of the Company, at a price to the public of $18.00 per ADS, before underwriting discounts and commissions. The number of ADSs sold by the Company was 5,263,000, and the number of ADSs sold by STIC Special Situation Diamond Limited, the selling shareholder in the Offering (the “Selling Shareholder”), was 1,053,000. The net proceeds to us from this offering was approximately $86.5 million, after deducting the underwriting discounts and commissions and the offering expenses in the aggregate of approximately $8.7 million.</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Prior to this offering, there has been no public market for our common shares or ADSs. Our ADSs trade on the NASDAQ Stock Market (“NASDAQ”) under the symbol “DDI.”</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Reserve Reallocation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On August 26, 2022, the shareholders approved the reduction of the Company’s capital reserve in the amount of </w:t>
      </w:r>
      <w:r>
        <w:rPr>
          <w:rFonts w:ascii="Arial" w:cs="Arial" w:eastAsia="Arial" w:hAnsi="Arial"/>
          <w:sz w:val="18"/>
          <w:szCs w:val="18"/>
          <w:color w:val="auto"/>
          <w:strike w:val="1"/>
        </w:rPr>
        <w:t>W</w:t>
      </w:r>
      <w:r>
        <w:rPr>
          <w:rFonts w:ascii="Arial" w:cs="Arial" w:eastAsia="Arial" w:hAnsi="Arial"/>
          <w:sz w:val="18"/>
          <w:szCs w:val="18"/>
          <w:color w:val="auto"/>
        </w:rPr>
        <w:t>70,000,000,000 pursuant to Article 461-2 of the Korean Commercial Code at an Extraordinary General Meeting of Shareholders.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On December 28, 2022, the shareholders approved the reduction of the Company’s capital reserve in the amount of </w:t>
      </w:r>
      <w:r>
        <w:rPr>
          <w:rFonts w:ascii="Arial" w:cs="Arial" w:eastAsia="Arial" w:hAnsi="Arial"/>
          <w:sz w:val="18"/>
          <w:szCs w:val="18"/>
          <w:color w:val="auto"/>
          <w:strike w:val="1"/>
        </w:rPr>
        <w:t>W</w:t>
      </w:r>
      <w:r>
        <w:rPr>
          <w:rFonts w:ascii="Arial" w:cs="Arial" w:eastAsia="Arial" w:hAnsi="Arial"/>
          <w:sz w:val="18"/>
          <w:szCs w:val="18"/>
          <w:color w:val="auto"/>
        </w:rPr>
        <w:t>330,000,000,000 pursuant to Article 461-2 of the Korean Commercial Code at an Extraordinary General Meeting of Shareholders.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consolidation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unaudited condensed consolidated financial statements include all adjustments of a normal, recurring nature necessary for the fair presentation of the results for the interim periods presented. The results for the interim period presented are not necessarily indicative of those for the full year. The condensed consolidated financial statements should be read in conjunction with our consolidated financial statements for the year ended December 31, 2022.</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condensed consolidated financial statements include the balances and accounts of DDI and our controlled subsidiaries. All significant inter-company transactions, balances and unrealized gains or losses have been eliminated. We view our operations and manage our business as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requires estimates and assumptions that affect the reported amounts of assets and liabilities, revenues and expenses, and related disclosures. We regularly evaluate estimates and assumptions related to provisions for income taxes, revenue recognition, expense accruals, deferred income tax asset valuation allowances, valuation of goodwill and intangibles, and legal contingencies.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The actual results experienced may differ materially and adversely from these estimates. To the extent there are material differences between the estimates and the actual results, future operating results may be affected.</w:t>
      </w:r>
    </w:p>
    <w:p>
      <w:pPr>
        <w:sectPr>
          <w:pgSz w:w="11900" w:h="16838" w:orient="portrait"/>
          <w:cols w:equalWidth="0" w:num="1">
            <w:col w:w="11000"/>
          </w:cols>
          <w:pgMar w:left="440" w:top="40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Functional currency and translation of financial statements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functional currency is the Korean Won (“KRW”) and the U.S. Dollar (“dollar,” “USD,” “US$,” or “$”) is the functional currency of our United States subsidiaries. The accompanying consolidated financial statements are presented in USD. The consolidated balance sheets have been translated at the exchange rates prevailing at each balance sheet date. The consolidated statement of comprehensive income and statement of cash flows have been translated using the weighted-average exchange rates prevailing during the periods of each statement. The equity capital is denominated in the functional currency, KRW, and is translated at historical exchange rates. All translation adjustments resulting from translating into the reporting currency are accumulated as a separate component of accumulated other comprehensive income in shareholders’ equity. Gains or losses resulting from foreign currency transactions are included in other income (expense).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Intercompany monetary items denominated in foreign currencies are translated into the functional currency at the exchange rate at the reporting date with the gain or loss arising on translation recorded to other income (expense). Intercompany non-monetary items that are measured at historical cost in a foreign currency are translated using the exchange rates at the dates of the initial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consider all money market funds and short-term investments with a maturity of three months or less when acquired to be cash and cash equivalents. Cash and cash equivalents are held by high credit quality financial institutions and balances may exceed limits of federal insurance. We have not experienced any losses resulting from these excess deposits.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instruments, which potentially expose us to concentrations of credit risk, consist primarily of cash and cash equivalents, accounts receivable and short-term investments.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are recorded and carried at the net invoiced amount, which is net of platform payment processing fees, unsecured, and represent amounts due to us based on contractual obligations where an executed contract exists. We do not require collateral and have not recognized an allowance as management estimates the net receivable is fully collectible. Apple, Inc. (“Apple”), Facebook, Inc. (“Facebook”), and Google, LLC (“Google”) represent significant distribution, marketing, and payment platforms for our games. A substantial portion of our revenue was generated from players who accessed our games through these platforms and a significant concentration of our accounts receivable balance is comprised of balances owed to us by these platforms.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percentage of revenues and accounts receivable generated via our platform providers in excess of 10% of our total revenues and total accounts receivable:</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i w:val="1"/>
                <w:iCs w:val="1"/>
                <w:color w:val="auto"/>
                <w:w w:val="92"/>
              </w:rPr>
              <w:t>Revenue Concentration</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3380" w:type="dxa"/>
            <w:vAlign w:val="bottom"/>
            <w:gridSpan w:val="6"/>
          </w:tcPr>
          <w:p>
            <w:pPr>
              <w:jc w:val="center"/>
              <w:ind w:right="880"/>
              <w:spacing w:after="0" w:line="142" w:lineRule="exact"/>
              <w:rPr>
                <w:sz w:val="20"/>
                <w:szCs w:val="20"/>
                <w:color w:val="auto"/>
              </w:rPr>
            </w:pPr>
            <w:r>
              <w:rPr>
                <w:rFonts w:ascii="Arial" w:cs="Arial" w:eastAsia="Arial" w:hAnsi="Arial"/>
                <w:sz w:val="14"/>
                <w:szCs w:val="14"/>
                <w:b w:val="1"/>
                <w:bCs w:val="1"/>
                <w:color w:val="auto"/>
                <w:w w:val="92"/>
              </w:rPr>
              <w:t>Three months ended June 30,</w:t>
            </w:r>
          </w:p>
        </w:tc>
        <w:tc>
          <w:tcPr>
            <w:tcW w:w="1960" w:type="dxa"/>
            <w:vAlign w:val="bottom"/>
            <w:gridSpan w:val="3"/>
          </w:tcPr>
          <w:p>
            <w:pPr>
              <w:jc w:val="right"/>
              <w:ind w:right="155"/>
              <w:spacing w:after="0" w:line="142" w:lineRule="exact"/>
              <w:rPr>
                <w:sz w:val="20"/>
                <w:szCs w:val="20"/>
                <w:color w:val="auto"/>
              </w:rPr>
            </w:pPr>
            <w:r>
              <w:rPr>
                <w:rFonts w:ascii="Arial" w:cs="Arial" w:eastAsia="Arial" w:hAnsi="Arial"/>
                <w:sz w:val="14"/>
                <w:szCs w:val="14"/>
                <w:b w:val="1"/>
                <w:bCs w:val="1"/>
                <w:color w:val="auto"/>
                <w:w w:val="94"/>
              </w:rPr>
              <w:t>Six months ended June 30,</w:t>
            </w:r>
          </w:p>
        </w:tc>
        <w:tc>
          <w:tcPr>
            <w:tcW w:w="1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2023</w:t>
            </w:r>
          </w:p>
        </w:tc>
        <w:tc>
          <w:tcPr>
            <w:tcW w:w="8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2023</w:t>
            </w: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Apple</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Facebook</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17.7%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Google</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378"/>
        </w:trPr>
        <w:tc>
          <w:tcPr>
            <w:tcW w:w="4600" w:type="dxa"/>
            <w:vAlign w:val="bottom"/>
          </w:tcPr>
          <w:p>
            <w:pPr>
              <w:spacing w:after="0"/>
              <w:rPr>
                <w:sz w:val="24"/>
                <w:szCs w:val="24"/>
                <w:color w:val="auto"/>
              </w:rPr>
            </w:pPr>
          </w:p>
        </w:tc>
        <w:tc>
          <w:tcPr>
            <w:tcW w:w="3380" w:type="dxa"/>
            <w:vAlign w:val="bottom"/>
            <w:gridSpan w:val="6"/>
          </w:tcPr>
          <w:p>
            <w:pPr>
              <w:jc w:val="center"/>
              <w:ind w:right="880"/>
              <w:spacing w:after="0"/>
              <w:rPr>
                <w:sz w:val="20"/>
                <w:szCs w:val="20"/>
                <w:color w:val="auto"/>
              </w:rPr>
            </w:pPr>
            <w:r>
              <w:rPr>
                <w:rFonts w:ascii="Arial" w:cs="Arial" w:eastAsia="Arial" w:hAnsi="Arial"/>
                <w:sz w:val="14"/>
                <w:szCs w:val="14"/>
                <w:i w:val="1"/>
                <w:iCs w:val="1"/>
                <w:color w:val="auto"/>
                <w:w w:val="92"/>
              </w:rPr>
              <w:t>Accounts Receivable Concentration</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9"/>
        </w:trPr>
        <w:tc>
          <w:tcPr>
            <w:tcW w:w="460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8"/>
              </w:rPr>
              <w:t>As of</w:t>
            </w: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As of</w:t>
            </w:r>
          </w:p>
        </w:tc>
        <w:tc>
          <w:tcPr>
            <w:tcW w:w="900" w:type="dxa"/>
            <w:vAlign w:val="bottom"/>
            <w:gridSpan w:val="3"/>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4600" w:type="dxa"/>
            <w:vAlign w:val="bottom"/>
          </w:tcPr>
          <w:p>
            <w:pPr>
              <w:spacing w:after="0"/>
              <w:rPr>
                <w:sz w:val="14"/>
                <w:szCs w:val="14"/>
                <w:color w:val="auto"/>
              </w:rPr>
            </w:pPr>
          </w:p>
        </w:tc>
        <w:tc>
          <w:tcPr>
            <w:tcW w:w="14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June 30,</w:t>
            </w:r>
          </w:p>
        </w:tc>
        <w:tc>
          <w:tcPr>
            <w:tcW w:w="19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2023</w:t>
            </w:r>
          </w:p>
        </w:tc>
        <w:tc>
          <w:tcPr>
            <w:tcW w:w="8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CEEFF"/>
            </w:tcBorders>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Apple</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Facebook</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Google</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social and mobile apps operate on a free-to-play model, whereby game players may collect virtual currency free of charge through the passage of time or through targeted marketing promotions. If a game player wishes to obtain virtual currency above and beyond the level of free virtual currency available to that player, the player may purchase additional virtual currency. Once a purchase is completed, the virtual currency is deposited into the player’s account and is not separately identifiable from previously purchased virtual currency or virtual currency obtained by the game player for free.</w:t>
      </w:r>
    </w:p>
    <w:p>
      <w:pPr>
        <w:sectPr>
          <w:pgSz w:w="11900" w:h="16838" w:orient="portrait"/>
          <w:cols w:equalWidth="0" w:num="1">
            <w:col w:w="11000"/>
          </w:cols>
          <w:pgMar w:left="440" w:top="517" w:right="459" w:bottom="1440" w:gutter="0" w:footer="0" w:header="0"/>
        </w:sectPr>
      </w:pPr>
    </w:p>
    <w:bookmarkStart w:id="18" w:name="page19"/>
    <w:bookmarkEnd w:id="18"/>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Once obtained, virtual currency (either free or purchased) cannot be redeemed for cash nor exchanged for anything other than gameplay within our apps. When virtual currency is played on any of our games, the game player could “win” and would be awarded additional virtual currency or could “lose” and lose the future use of that virtual currency. We have concluded that our virtual currency represents consumable goods, because the game player does not receive any additional benefit from the games and is not entitled to any additional rights once the virtual currency is substantially consumed.</w:t>
      </w:r>
    </w:p>
    <w:p>
      <w:pPr>
        <w:spacing w:after="0" w:line="15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Control transfers when the virtual currency is consumed for gameplay. We recognize revenue from player purchases of virtual currency based on the consumption of this currency. We determined through a review of play behavior that game players generally do not purchase additional virtual currency until their existing virtual currency balances, regardless of source (e.g., bonus currency, gifted currency through social media channels, daily free chips, etc.), have been substantially consumed.</w:t>
      </w:r>
    </w:p>
    <w:p>
      <w:pPr>
        <w:spacing w:after="0" w:line="187"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Based on an analysis of customers’ historical play behavior, purchase behavior, and the amount of virtual currency outstanding, we are able to estimate the rate that virtual currency is consumed during gameplay. Accordingly, revenue is recognized using a user-based revenue model with the period between purchases representing the timing difference between virtual currency purchase and consumption. This timing difference is relatively short.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continuously gather and analyze detailed customer play behavior and assess this data in relation to our judgments used for revenue recognition.</w:t>
      </w:r>
    </w:p>
    <w:p>
      <w:pPr>
        <w:spacing w:after="0" w:line="248" w:lineRule="exact"/>
        <w:rPr>
          <w:sz w:val="20"/>
          <w:szCs w:val="20"/>
          <w:color w:val="auto"/>
        </w:rPr>
      </w:pPr>
    </w:p>
    <w:p>
      <w:pPr>
        <w:jc w:val="both"/>
        <w:ind w:left="4" w:right="260"/>
        <w:spacing w:after="0" w:line="311" w:lineRule="auto"/>
        <w:rPr>
          <w:sz w:val="20"/>
          <w:szCs w:val="20"/>
          <w:color w:val="auto"/>
        </w:rPr>
      </w:pPr>
      <w:r>
        <w:rPr>
          <w:rFonts w:ascii="Arial" w:cs="Arial" w:eastAsia="Arial" w:hAnsi="Arial"/>
          <w:sz w:val="16"/>
          <w:szCs w:val="16"/>
          <w:color w:val="auto"/>
        </w:rPr>
        <w:t>We generate a small portion of our revenue from subscription services. All monthly subscription fees are prepaid and non-refundable for a one-month period and auto-renew until the end customer terminates the service with the platform provider the subscription services originated. The subscription revenue is recognized on a daily basis beginning on the original date of purchase and has no impact on a customer purchased virtual currency.</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We believe disaggregation of our revenue based on platform and geographical location are appropriate categories that depict how the nature, amount, timing, and uncertainty of revenue and cash flows are affected by economic factors.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represents our disaggregation of revenue between mobile and web platforms (in thousands):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1"/>
              </w:rPr>
              <w:t>Three months ended June 30,</w:t>
            </w:r>
          </w:p>
        </w:tc>
        <w:tc>
          <w:tcPr>
            <w:tcW w:w="500" w:type="dxa"/>
            <w:vAlign w:val="bottom"/>
          </w:tcPr>
          <w:p>
            <w:pPr>
              <w:spacing w:after="0"/>
              <w:rPr>
                <w:sz w:val="14"/>
                <w:szCs w:val="14"/>
                <w:color w:val="auto"/>
              </w:rPr>
            </w:pPr>
          </w:p>
        </w:tc>
        <w:tc>
          <w:tcPr>
            <w:tcW w:w="184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42"/>
        </w:trPr>
        <w:tc>
          <w:tcPr>
            <w:tcW w:w="6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$ 125,798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$ 124,883</w:t>
            </w:r>
          </w:p>
        </w:tc>
        <w:tc>
          <w:tcPr>
            <w:tcW w:w="4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Web</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12,719</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26,985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41,173</w:t>
            </w:r>
          </w:p>
        </w:tc>
        <w:tc>
          <w:tcPr>
            <w:tcW w:w="4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75,187</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$ 152,783</w:t>
            </w: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$ 166,056</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our revenue disaggregated based on the geographical location of our players (in thousands):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1"/>
              </w:rPr>
              <w:t>Three months ended June 30,</w:t>
            </w:r>
          </w:p>
        </w:tc>
        <w:tc>
          <w:tcPr>
            <w:tcW w:w="500" w:type="dxa"/>
            <w:vAlign w:val="bottom"/>
          </w:tcPr>
          <w:p>
            <w:pPr>
              <w:spacing w:after="0"/>
              <w:rPr>
                <w:sz w:val="14"/>
                <w:szCs w:val="14"/>
                <w:color w:val="auto"/>
              </w:rPr>
            </w:pPr>
          </w:p>
        </w:tc>
        <w:tc>
          <w:tcPr>
            <w:tcW w:w="184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55"/>
        </w:trPr>
        <w:tc>
          <w:tcPr>
            <w:tcW w:w="66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3"/>
                <w:szCs w:val="13"/>
                <w:color w:val="auto"/>
              </w:rPr>
            </w:pPr>
          </w:p>
        </w:tc>
        <w:tc>
          <w:tcPr>
            <w:tcW w:w="72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2023</w:t>
            </w:r>
          </w:p>
        </w:tc>
        <w:tc>
          <w:tcPr>
            <w:tcW w:w="108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3"/>
                <w:szCs w:val="13"/>
                <w:color w:val="auto"/>
              </w:rPr>
            </w:pPr>
          </w:p>
        </w:tc>
      </w:tr>
      <w:tr>
        <w:trPr>
          <w:trHeight w:val="210"/>
        </w:trPr>
        <w:tc>
          <w:tcPr>
            <w:tcW w:w="668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18"/>
                <w:szCs w:val="18"/>
                <w:color w:val="auto"/>
              </w:rPr>
              <w:t xml:space="preserve">U.S. </w:t>
            </w:r>
            <w:r>
              <w:rPr>
                <w:rFonts w:ascii="Arial" w:cs="Arial" w:eastAsia="Arial" w:hAnsi="Arial"/>
                <w:sz w:val="22"/>
                <w:szCs w:val="22"/>
                <w:color w:val="auto"/>
                <w:vertAlign w:val="superscript"/>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70,661</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$ 133,831</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$ 144,349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9,558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18,952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21,707</w:t>
            </w:r>
          </w:p>
        </w:tc>
        <w:tc>
          <w:tcPr>
            <w:tcW w:w="4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75,187</w:t>
            </w: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$ 152,783</w:t>
            </w: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$ 166,056</w:t>
            </w:r>
          </w:p>
        </w:tc>
        <w:tc>
          <w:tcPr>
            <w:tcW w:w="40" w:type="dxa"/>
            <w:vAlign w:val="bottom"/>
            <w:shd w:val="clear" w:color="auto" w:fill="CCEEFF"/>
          </w:tcPr>
          <w:p>
            <w:pPr>
              <w:spacing w:after="0"/>
              <w:rPr>
                <w:sz w:val="18"/>
                <w:szCs w:val="18"/>
                <w:color w:val="auto"/>
              </w:rPr>
            </w:pPr>
          </w:p>
        </w:tc>
      </w:tr>
    </w:tbl>
    <w:p>
      <w:pPr>
        <w:spacing w:after="0" w:line="220" w:lineRule="exact"/>
        <w:rPr>
          <w:sz w:val="20"/>
          <w:szCs w:val="20"/>
          <w:color w:val="auto"/>
        </w:rPr>
      </w:pPr>
    </w:p>
    <w:p>
      <w:pPr>
        <w:ind w:left="444" w:hanging="444"/>
        <w:spacing w:after="0"/>
        <w:tabs>
          <w:tab w:leader="none" w:pos="444"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Geographic location is presented as being derived from the U.S. when data is not available.</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Principal-agent considerations</w:t>
      </w:r>
    </w:p>
    <w:p>
      <w:pPr>
        <w:spacing w:after="0" w:line="11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Our revenue contracts are with game players who are our customers. We have exclusive control over all content, pricing, and overall functionality of games accessed by players. Our games are played on various third-party platforms for which the platform providers collect proceeds from our customers and remit us an amount after deducting a fee for processing and other agency services. We record</w:t>
      </w:r>
    </w:p>
    <w:p>
      <w:pPr>
        <w:sectPr>
          <w:pgSz w:w="11900" w:h="16838" w:orient="portrait"/>
          <w:cols w:equalWidth="0" w:num="1">
            <w:col w:w="11024"/>
          </w:cols>
          <w:pgMar w:left="436" w:top="409" w:right="439" w:bottom="1440" w:gutter="0" w:footer="0" w:header="0"/>
        </w:sectPr>
      </w:pPr>
    </w:p>
    <w:bookmarkStart w:id="19" w:name="page20"/>
    <w:bookmarkEnd w:id="19"/>
    <w:p>
      <w:pPr>
        <w:ind w:left="4"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revenue at the gross amount charged to our customers and classify fees paid to platform providers (such as Apple, Facebook, and Google) within cost of revenue, contract assets, contract liabilities and other disclosures.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Contract assets, contract liabilities and other disclosures</w:t>
      </w:r>
    </w:p>
    <w:p>
      <w:pPr>
        <w:spacing w:after="0" w:line="117" w:lineRule="exact"/>
        <w:rPr>
          <w:sz w:val="20"/>
          <w:szCs w:val="20"/>
          <w:color w:val="auto"/>
        </w:rPr>
      </w:pPr>
    </w:p>
    <w:p>
      <w:pPr>
        <w:ind w:left="4" w:right="140"/>
        <w:spacing w:after="0" w:line="272" w:lineRule="auto"/>
        <w:rPr>
          <w:sz w:val="20"/>
          <w:szCs w:val="20"/>
          <w:color w:val="auto"/>
        </w:rPr>
      </w:pPr>
      <w:r>
        <w:rPr>
          <w:rFonts w:ascii="Arial" w:cs="Arial" w:eastAsia="Arial" w:hAnsi="Arial"/>
          <w:sz w:val="17"/>
          <w:szCs w:val="17"/>
          <w:color w:val="auto"/>
        </w:rPr>
        <w:t>Customer payments are based on the payment terms established in our contracts. Payments for purchase of virtual currency are required at time of purchase, are non-refundable and relate to non-cancellable contracts that specify our performance obligations. All payments are initially recorded as revenue, as the player has no right of return after the purchase, consistent with our standard terms and conditions. Based on our analysis, at each period end, we estimate the number of days to consume virtual currency. This represents the revenue amount where the performance obligation has not been met and is deferred as a contract liability until we satisfy the obligation. The contract asset consists of platform fees for which revenue has not been recognized. For subscription revenue, the remaining portion of the daily ratable monthly subscription is recorded as a contract liability and the applicable platform fees as a contract asset.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summarized our opening and closing balances in contract assets and contract liabilities (in thousands):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340" w:type="dxa"/>
            <w:vAlign w:val="bottom"/>
            <w:gridSpan w:val="4"/>
          </w:tcPr>
          <w:p>
            <w:pPr>
              <w:ind w:left="1660"/>
              <w:spacing w:after="0"/>
              <w:rPr>
                <w:sz w:val="20"/>
                <w:szCs w:val="20"/>
                <w:color w:val="auto"/>
              </w:rPr>
            </w:pPr>
            <w:r>
              <w:rPr>
                <w:rFonts w:ascii="Arial" w:cs="Arial" w:eastAsia="Arial" w:hAnsi="Arial"/>
                <w:sz w:val="14"/>
                <w:szCs w:val="14"/>
                <w:b w:val="1"/>
                <w:bCs w:val="1"/>
                <w:color w:val="auto"/>
              </w:rPr>
              <w:t>As of June 30, 2023</w:t>
            </w: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w w:val="92"/>
              </w:rPr>
              <w:t>As of December 31, 2022</w:t>
            </w:r>
          </w:p>
        </w:tc>
      </w:tr>
      <w:tr>
        <w:trPr>
          <w:trHeight w:val="20"/>
        </w:trPr>
        <w:tc>
          <w:tcPr>
            <w:tcW w:w="2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9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2"/>
                <w:szCs w:val="22"/>
                <w:color w:val="auto"/>
                <w:vertAlign w:val="superscript"/>
              </w:rPr>
              <w:t>(1)</w:t>
            </w:r>
          </w:p>
        </w:tc>
        <w:tc>
          <w:tcPr>
            <w:tcW w:w="21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0" w:type="dxa"/>
            <w:vAlign w:val="bottom"/>
            <w:shd w:val="clear" w:color="auto" w:fill="CCEEFF"/>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Contract liabilities</w:t>
            </w:r>
          </w:p>
        </w:tc>
        <w:tc>
          <w:tcPr>
            <w:tcW w:w="1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2,207</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2,426</w:t>
            </w:r>
          </w:p>
        </w:tc>
        <w:tc>
          <w:tcPr>
            <w:tcW w:w="40" w:type="dxa"/>
            <w:vAlign w:val="bottom"/>
          </w:tcPr>
          <w:p>
            <w:pPr>
              <w:spacing w:after="0"/>
              <w:rPr>
                <w:sz w:val="20"/>
                <w:szCs w:val="20"/>
                <w:color w:val="auto"/>
              </w:rPr>
            </w:pPr>
          </w:p>
        </w:tc>
      </w:tr>
    </w:tbl>
    <w:p>
      <w:pPr>
        <w:spacing w:after="0" w:line="192" w:lineRule="exact"/>
        <w:rPr>
          <w:sz w:val="20"/>
          <w:szCs w:val="20"/>
          <w:color w:val="auto"/>
        </w:rPr>
      </w:pPr>
    </w:p>
    <w:p>
      <w:pPr>
        <w:ind w:left="444" w:hanging="444"/>
        <w:spacing w:after="0"/>
        <w:tabs>
          <w:tab w:leader="none" w:pos="444" w:val="left"/>
        </w:tabs>
        <w:numPr>
          <w:ilvl w:val="0"/>
          <w:numId w:val="4"/>
        </w:numPr>
        <w:rPr>
          <w:rFonts w:ascii="Arial" w:cs="Arial" w:eastAsia="Arial" w:hAnsi="Arial"/>
          <w:sz w:val="22"/>
          <w:szCs w:val="22"/>
          <w:i w:val="1"/>
          <w:iCs w:val="1"/>
          <w:color w:val="auto"/>
          <w:vertAlign w:val="superscript"/>
        </w:rPr>
      </w:pPr>
      <w:r>
        <w:rPr>
          <w:rFonts w:ascii="Arial" w:cs="Arial" w:eastAsia="Arial" w:hAnsi="Arial"/>
          <w:sz w:val="18"/>
          <w:szCs w:val="18"/>
          <w:color w:val="auto"/>
        </w:rPr>
        <w:t>Contract assets are included within prepaid expenses and other assets in our consolidated balance sheet.</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jc w:val="both"/>
        <w:ind w:left="4" w:right="340"/>
        <w:spacing w:after="0" w:line="263" w:lineRule="auto"/>
        <w:rPr>
          <w:sz w:val="20"/>
          <w:szCs w:val="20"/>
          <w:color w:val="auto"/>
        </w:rPr>
      </w:pPr>
      <w:r>
        <w:rPr>
          <w:rFonts w:ascii="Arial" w:cs="Arial" w:eastAsia="Arial" w:hAnsi="Arial"/>
          <w:sz w:val="18"/>
          <w:szCs w:val="18"/>
          <w:color w:val="auto"/>
        </w:rPr>
        <w:t>The Company holds investments in marketable securities with the intention of selling these investments within a relatively short period of time (3-6 months). As such, gains or losses from holding or trading these securities were recognized in the Statements of Income. At June 30, 2023, short term investments comprised of fixed time deposits classified as trading.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There were no changes to the carrying amount of goodwill in the three months and six months ended June 30, 2023. We recognized an aggregate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$269.9 million impairment of goodwill and intangibles in 2022. Changes in the carrying amount of intangible assets were as follows (in thousands):</w:t>
      </w: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21"/>
              <w:spacing w:after="0"/>
              <w:rPr>
                <w:sz w:val="20"/>
                <w:szCs w:val="20"/>
                <w:color w:val="auto"/>
              </w:rPr>
            </w:pPr>
            <w:r>
              <w:rPr>
                <w:rFonts w:ascii="Arial" w:cs="Arial" w:eastAsia="Arial" w:hAnsi="Arial"/>
                <w:sz w:val="14"/>
                <w:szCs w:val="14"/>
                <w:b w:val="1"/>
                <w:bCs w:val="1"/>
                <w:color w:val="auto"/>
              </w:rPr>
              <w:t>June 30, 2023</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w w:val="99"/>
              </w:rPr>
              <w:t>December 31, 2022</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4"/>
          </w:tcPr>
          <w:p>
            <w:pPr>
              <w:jc w:val="right"/>
              <w:ind w:right="41"/>
              <w:spacing w:after="0" w:line="123"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29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auto"/>
              </w:rPr>
              <w:t>Useful life</w:t>
            </w:r>
          </w:p>
        </w:tc>
        <w:tc>
          <w:tcPr>
            <w:tcW w:w="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w w:val="88"/>
              </w:rPr>
              <w:t>Gross amount</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4"/>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7"/>
              </w:rPr>
              <w:t>Impairment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Net amount</w:t>
            </w: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Gross amount</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4"/>
                <w:szCs w:val="14"/>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4"/>
                <w:szCs w:val="14"/>
                <w:color w:val="auto"/>
                <w:w w:val="97"/>
              </w:rPr>
              <w:t>Impairment</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w w:val="96"/>
              </w:rPr>
              <w:t>Net amount</w:t>
            </w:r>
          </w:p>
        </w:tc>
      </w:tr>
      <w:tr>
        <w:trPr>
          <w:trHeight w:val="20"/>
        </w:trPr>
        <w:tc>
          <w:tcPr>
            <w:tcW w:w="2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indefinite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633,965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6"/>
              </w:rPr>
              <w:t>$(254,893)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$379,072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633,965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$(254,893)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$379,072</w:t>
            </w:r>
          </w:p>
        </w:tc>
        <w:tc>
          <w:tcPr>
            <w:tcW w:w="4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Trademarks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indefinite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
              <w:spacing w:after="0"/>
              <w:rPr>
                <w:sz w:val="20"/>
                <w:szCs w:val="20"/>
                <w:color w:val="auto"/>
              </w:rPr>
            </w:pPr>
            <w:r>
              <w:rPr>
                <w:rFonts w:ascii="Arial" w:cs="Arial" w:eastAsia="Arial" w:hAnsi="Arial"/>
                <w:sz w:val="18"/>
                <w:szCs w:val="18"/>
                <w:color w:val="auto"/>
              </w:rPr>
              <w:t>(15,000)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Purchased technology</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(45,423)</w:t>
            </w:r>
          </w:p>
        </w:tc>
        <w:tc>
          <w:tcPr>
            <w:tcW w:w="8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45,423</w:t>
            </w:r>
          </w:p>
        </w:tc>
        <w:tc>
          <w:tcPr>
            <w:tcW w:w="10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(45,423)</w:t>
            </w:r>
          </w:p>
        </w:tc>
        <w:tc>
          <w:tcPr>
            <w:tcW w:w="6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(9,486)</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Software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 years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(2,418)</w:t>
            </w:r>
          </w:p>
        </w:tc>
        <w:tc>
          <w:tcPr>
            <w:tcW w:w="8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816,340</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(132,327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(269,893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414,121</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816,336</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(132,320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(269,893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414,123</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reflects amortization expense related to intangible assets included with depreciation and amortization (in thousands):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Three months ended June 30,</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6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4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CCEEFF"/>
            </w:tcBorders>
          </w:tcPr>
          <w:p>
            <w:pPr>
              <w:spacing w:after="0"/>
              <w:rPr>
                <w:sz w:val="19"/>
                <w:szCs w:val="19"/>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0" w:type="dxa"/>
            <w:vAlign w:val="bottom"/>
            <w:shd w:val="clear" w:color="auto" w:fill="CCEEFF"/>
          </w:tcPr>
          <w:p>
            <w:pPr>
              <w:spacing w:after="0"/>
              <w:rPr>
                <w:sz w:val="18"/>
                <w:szCs w:val="18"/>
                <w:color w:val="auto"/>
              </w:rPr>
            </w:pPr>
          </w:p>
        </w:tc>
      </w:tr>
    </w:tbl>
    <w:p>
      <w:pPr>
        <w:sectPr>
          <w:pgSz w:w="11900" w:h="16838" w:orient="portrait"/>
          <w:cols w:equalWidth="0" w:num="1">
            <w:col w:w="11024"/>
          </w:cols>
          <w:pgMar w:left="436" w:top="517" w:right="4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Note 5: Debt</w:t>
      </w:r>
    </w:p>
    <w:p>
      <w:pPr>
        <w:sectPr>
          <w:pgSz w:w="11900" w:h="16838" w:orient="portrait"/>
          <w:cols w:equalWidth="0" w:num="1">
            <w:col w:w="11000"/>
          </w:cols>
          <w:pgMar w:left="440" w:top="405" w:right="45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at June 30, 2023 and December 31, 2022 are as follows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June 30, 2023</w:t>
            </w:r>
          </w:p>
        </w:tc>
        <w:tc>
          <w:tcPr>
            <w:tcW w:w="2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As of December 31, 2022</w:t>
            </w:r>
          </w:p>
        </w:tc>
      </w:tr>
      <w:tr>
        <w:trPr>
          <w:trHeight w:val="20"/>
        </w:trPr>
        <w:tc>
          <w:tcPr>
            <w:tcW w:w="4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4.60% Senior Notes due to related party due 2024</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4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w:t>
            </w:r>
          </w:p>
        </w:tc>
        <w:tc>
          <w:tcPr>
            <w:tcW w:w="40" w:type="dxa"/>
            <w:vAlign w:val="bottom"/>
            <w:shd w:val="clear" w:color="auto" w:fill="CCEEFF"/>
          </w:tcPr>
          <w:p>
            <w:pPr>
              <w:spacing w:after="0"/>
              <w:rPr>
                <w:sz w:val="18"/>
                <w:szCs w:val="18"/>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9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472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4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4.60% Senior Notes due to related party due 2024</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4.60% Senior Notes due to related party, which collectively total KRW100 billion (US$76 million) at inception, accrue 4.60% interest quarterly on the outstanding principal amount until maturity. Interest and principal are due in full at maturity (May 27,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carrying values of our accounts receivable, prepaid expenses and other current assets, accounts payable, accrued liabilities and short-term borrowings approximate their fair values due to the short-term nature of these instruments.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cash equivalents (Level 1 of fair value hierarchy) consist of money market funds and Korean government bonds totaling $184.5 million, and short-term investments (Level 2 of fair value hierarchy) comprised of fixed time or certificates of deposit with maturity periods greater than 90 days totaling $60.7 million as of June 30, 2023. As of December 31, 2022, our cash equivalents (Level 1 of fair value hierarchy) consisted of money market funds and Korean government bonds totaling $217.4 million, and short-term investments (Level 2 of fair value hierarchy) comprised of fixed time or certificates of deposit with maturity periods greater than 90 days totaling $67.9 million. We rely on credit market data to track interest rates for other entities with similar risk profiles.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 all debt at inception at fair value. We perform subsequent analysis on available data to evaluate the fair value of our borrowing as of the balance sheet date. We rely on credit market data to track interest rates for other entities with similar risk profiles. As of June 30, 2023, we believe the fair value of our senior notes (a Level 3 estimate) would be $1.5 million lower than face value due to the overall increase in interest rates during the past year. We do not believe the difference between carrying value and fair value has changed materially due to foreign exchange exposure or our credit worthiness.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subject to federal and state income taxes in Korea and the United States. We account for our provision for income taxes in accordance with ASC 740, Income Taxes, which requires an estimate of the annual effective tax rate for the full year to be applied to the interim period, taking into account year-to-date amounts and projected results for the full year.</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effective tax rate varies from the statutory Korean income tax rate due to the effect of foreign rate differential, withholding taxes, state and local income taxes, foreign derived intangible income (FDII) deduction, research and development credits, and a valuation allowance on Korean deferred tax assets. Our effective tax rate could fluctuate significantly from quarter to quarter based on variations in the estimated and actual level of pre-tax income or loss by jurisdiction, changes in enacted tax laws and regulations, and changes in estimates regarding non-deductible expenses and tax credits. As of June 30, 2023, and December 31, 2022, we have provided a valuation allowance against our net deferred tax assets that we believe, based on the weight of available evidence, are more likely than not to be realized.</w:t>
      </w:r>
    </w:p>
    <w:p>
      <w:pPr>
        <w:spacing w:after="0" w:line="17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income tax expense of $7.6 million for the three months ended June 30, 2023, reflects an effective tax rate of 23.7% which is lower than the effective tax rate of 26.1% for the three months ended June 30, 2022. The decrease in rate from 2022 to 2023 is primarily due to a reduction in the Korean tax rate and changes in the valuation allowance offset by a reduction in the FDII benefit.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effective tax rate of 23.0% for the six months ended June 30, 2023, is higher than the Korean statutory rate of 19%, primarily due to foreign rate differential and state taxes. The effective rate of 23.0% includes a $172 thousand discrete provision related to a change in the state tax rate and withholding taxes of $241 thousand.</w:t>
      </w:r>
    </w:p>
    <w:p>
      <w:pPr>
        <w:sectPr>
          <w:pgSz w:w="11900" w:h="16838" w:orient="portrait"/>
          <w:cols w:equalWidth="0" w:num="1">
            <w:col w:w="11000"/>
          </w:cols>
          <w:pgMar w:left="440" w:top="405" w:right="4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Note 8: Net income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common shares outstanding for the period, without consideration for potentially dilutive securities. Diluted net income per share is computed by dividing net income by the weighted-average number of common shares and dilutive common share equivalents outstanding for the period determined using the treasury-stock and if-converted methods. There were no potentially dilutive securities outstanding in either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lessee for corporate office space in Seattle, Washington and Seoul, Korea. The lessor for our Seoul, Korea leases is our parent, DoubleU Games (see Note 12). Our leases have remaining terms of three to sixteen months. We do not have any finance leases. Our total variable and short-term lease payments are immaterial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Seattle, Washington lease originated in July 2012 and consists of 49,375 square feet. The lease will expire in October 2024.</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February 2019, we executed new subleases with our parent, DUG, for 21,218 square feet of office space in Gangnam-gu, Seoul, Korea. The lease term will expire in September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and cash flow information related to operating leases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As of June 30, 2023</w:t>
            </w:r>
          </w:p>
        </w:tc>
        <w:tc>
          <w:tcPr>
            <w:tcW w:w="520" w:type="dxa"/>
            <w:vAlign w:val="bottom"/>
          </w:tcPr>
          <w:p>
            <w:pPr>
              <w:spacing w:after="0"/>
              <w:rPr>
                <w:sz w:val="14"/>
                <w:szCs w:val="14"/>
                <w:color w:val="auto"/>
              </w:rPr>
            </w:pPr>
          </w:p>
        </w:tc>
        <w:tc>
          <w:tcPr>
            <w:tcW w:w="19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3,021</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rent</w:t>
            </w: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right-of-use asset, net</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2,373</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1320"/>
              <w:spacing w:after="0"/>
              <w:rPr>
                <w:sz w:val="20"/>
                <w:szCs w:val="20"/>
                <w:color w:val="auto"/>
              </w:rPr>
            </w:pPr>
            <w:r>
              <w:rPr>
                <w:rFonts w:ascii="Arial" w:cs="Arial" w:eastAsia="Arial" w:hAnsi="Arial"/>
                <w:sz w:val="18"/>
                <w:szCs w:val="18"/>
                <w:color w:val="auto"/>
              </w:rPr>
              <w:t>Short-term operating lease liabilities</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2,356</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20" w:type="dxa"/>
            <w:vAlign w:val="bottom"/>
            <w:gridSpan w:val="2"/>
          </w:tcPr>
          <w:p>
            <w:pPr>
              <w:ind w:left="132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3,021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6740" w:type="dxa"/>
            <w:vAlign w:val="bottom"/>
            <w:gridSpan w:val="5"/>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4"/>
          </w:tcPr>
          <w:p>
            <w:pPr>
              <w:ind w:left="620"/>
              <w:spacing w:after="0"/>
              <w:rPr>
                <w:sz w:val="20"/>
                <w:szCs w:val="20"/>
                <w:color w:val="auto"/>
              </w:rPr>
            </w:pPr>
            <w:r>
              <w:rPr>
                <w:rFonts w:ascii="Arial" w:cs="Arial" w:eastAsia="Arial" w:hAnsi="Arial"/>
                <w:sz w:val="14"/>
                <w:szCs w:val="14"/>
                <w:b w:val="1"/>
                <w:bCs w:val="1"/>
                <w:color w:val="auto"/>
                <w:w w:val="89"/>
              </w:rPr>
              <w:t>Six months ended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June 30, 2023</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June 30, 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4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Cash paid for amounts included in the measurement of</w:t>
            </w: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1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Changes in accumulated other comprehensive income (AOCI) by component for the three and six months ended June 30, 2023 and 2022 were as follows (in thousands):</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2023</w:t>
            </w: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Currency Translation</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6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rPr>
              <w:t>Adjustments</w:t>
            </w:r>
          </w:p>
        </w:tc>
        <w:tc>
          <w:tcPr>
            <w:tcW w:w="12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Pension Plan</w:t>
            </w: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April 1, 2023</w:t>
            </w:r>
          </w:p>
        </w:tc>
        <w:tc>
          <w:tcPr>
            <w:tcW w:w="29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19,611</w:t>
            </w: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(1,589)</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Foreign currency translation loss, net of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Balance as of June 30, 2023</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19,445</w:t>
            </w: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2022</w:t>
            </w: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Currency Translation</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60" w:type="dxa"/>
            <w:vAlign w:val="bottom"/>
          </w:tcPr>
          <w:p>
            <w:pPr>
              <w:spacing w:after="0"/>
              <w:rPr>
                <w:sz w:val="24"/>
                <w:szCs w:val="2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rPr>
              <w:t>Adjustments</w:t>
            </w:r>
          </w:p>
        </w:tc>
        <w:tc>
          <w:tcPr>
            <w:tcW w:w="12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Pension Plan</w:t>
            </w:r>
          </w:p>
        </w:tc>
        <w:tc>
          <w:tcPr>
            <w:tcW w:w="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April 1, 2022</w:t>
            </w:r>
          </w:p>
        </w:tc>
        <w:tc>
          <w:tcPr>
            <w:tcW w:w="29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22,865</w:t>
            </w:r>
          </w:p>
        </w:tc>
        <w:tc>
          <w:tcPr>
            <w:tcW w:w="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(1,804)</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$21,061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Foreign currency translation loss, net of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(3,526)</w:t>
            </w:r>
          </w:p>
        </w:tc>
        <w:tc>
          <w:tcPr>
            <w:tcW w:w="2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Balance as of March 31, 2022</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440" w:top="513" w:right="55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89"/>
              </w:rPr>
              <w:t>Six months ended June 30, 2023</w:t>
            </w:r>
          </w:p>
        </w:tc>
        <w:tc>
          <w:tcPr>
            <w:tcW w:w="3120" w:type="dxa"/>
            <w:vAlign w:val="bottom"/>
            <w:vMerge w:val="restart"/>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Currency Translation</w:t>
            </w: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4"/>
              <w:spacing w:after="0" w:line="158"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line="158" w:lineRule="exact"/>
              <w:rPr>
                <w:sz w:val="20"/>
                <w:szCs w:val="20"/>
                <w:color w:val="auto"/>
              </w:rPr>
            </w:pPr>
            <w:r>
              <w:rPr>
                <w:rFonts w:ascii="Arial" w:cs="Arial" w:eastAsia="Arial" w:hAnsi="Arial"/>
                <w:sz w:val="14"/>
                <w:szCs w:val="14"/>
                <w:b w:val="1"/>
                <w:bCs w:val="1"/>
                <w:color w:val="auto"/>
                <w:w w:val="88"/>
              </w:rPr>
              <w:t>Pension Plan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8"/>
              </w:rPr>
              <w:t>Balance at January 1, 2023</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Foreign currency translation loss, net of tax</w:t>
            </w:r>
          </w:p>
        </w:tc>
        <w:tc>
          <w:tcPr>
            <w:tcW w:w="1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(1,347)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as of June 30, 2023</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89"/>
              </w:rPr>
              <w:t>Six months ended June 30, 2022</w:t>
            </w:r>
          </w:p>
        </w:tc>
        <w:tc>
          <w:tcPr>
            <w:tcW w:w="3120" w:type="dxa"/>
            <w:vAlign w:val="bottom"/>
            <w:vMerge w:val="restart"/>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Currency Translation</w:t>
            </w: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24"/>
                <w:szCs w:val="24"/>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96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4"/>
              <w:spacing w:after="0" w:line="158"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line="158" w:lineRule="exact"/>
              <w:rPr>
                <w:sz w:val="20"/>
                <w:szCs w:val="20"/>
                <w:color w:val="auto"/>
              </w:rPr>
            </w:pPr>
            <w:r>
              <w:rPr>
                <w:rFonts w:ascii="Arial" w:cs="Arial" w:eastAsia="Arial" w:hAnsi="Arial"/>
                <w:sz w:val="14"/>
                <w:szCs w:val="14"/>
                <w:b w:val="1"/>
                <w:bCs w:val="1"/>
                <w:color w:val="auto"/>
                <w:w w:val="88"/>
              </w:rPr>
              <w:t>Pension Plan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8"/>
              </w:rPr>
              <w:t>Balance at January 1, 2022</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Foreign currency translation loss, net of tax</w:t>
            </w:r>
          </w:p>
        </w:tc>
        <w:tc>
          <w:tcPr>
            <w:tcW w:w="1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(4,972)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gain/(loss), net of tax</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as of June 30, 2022</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do not tax effect foreign currency translation gain/(loss) because we have determined such gain/(loss) is permanently reinvested and actuarial gain/(loss) is not tax effected due to a valuation allowance applied to our deferred tax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April 12, 2018, a class-action lawsuit was filed against DDI-US demanding a return of unfair benefit under the pretext that the Company’s social casino games are not legal in the State of Washington, United States. Similar class-action lawsuits were concurrently filed with certain of our competitors, certain of which, announced settlements which the court has recently approved. On April 25, 2021, plaintiffs filed their Second Amended Complaint, changing their allegations to include an additional corporate entity of co-defendant, IGT.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IGT tendered its defense of the lawsuit to DDI-US and sought indemnity for any damages from the lawsuit, based on various agreements associated with IGT’s sale of DDI-US. DDI-US had previously tendered its defense to IGT and sought indemnity from it.</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On August 29, 2022, DDI-US entered into an agreement in principle to settle the aforementioned </w:t>
      </w:r>
      <w:r>
        <w:rPr>
          <w:rFonts w:ascii="Arial" w:cs="Arial" w:eastAsia="Arial" w:hAnsi="Arial"/>
          <w:sz w:val="16"/>
          <w:szCs w:val="16"/>
          <w:i w:val="1"/>
          <w:iCs w:val="1"/>
          <w:color w:val="auto"/>
        </w:rPr>
        <w:t>Benson</w:t>
      </w:r>
      <w:r>
        <w:rPr>
          <w:rFonts w:ascii="Arial" w:cs="Arial" w:eastAsia="Arial" w:hAnsi="Arial"/>
          <w:sz w:val="16"/>
          <w:szCs w:val="16"/>
          <w:color w:val="auto"/>
        </w:rPr>
        <w:t xml:space="preserve"> class action and associated proceedings, pursuant to which, among other things, IGT and DDI-US would contribute $269.75 million and $145.25 million, respectively, to the settlement fund. This agreement in principle received final court approval with the final contribution to the settlement fund made in June, 2023. The Company had an aggregate accrual of $145.25 million for the years ended December 31, 2022 and 2021, less $50 million for payments made in the fourth quarter of 2022 and $95.25 million in second quarter of 2023. As of June 30, 2023, the Company loss contingency was cleared.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Publishing and 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DoubleU Games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entered into the DoubleU Games License Agreement on March 7, 2018, and it was subsequently amended on July 1, 2019 and November 27, 2019. Pursuant to the DoubleU Games License Agreement, DoubleU Games grants us an exclusive license to develop and distribute certain DoubleU Games social casino game titles and sequels thereto in the social online game field of use. We are obligated to pay a royalty license fee to DoubleU Games in connection with these rights, with certain customary terms and conditions. The agreement remains in effect until either DUG no longer holds an interest, directly or indirectly, in DDI, or DDI no longer holds an interest, directly or indirectly, in DDI-US. In such event, the agreement provides that the parties will mutually renegotiate the terms of the agreement. As of June 30, 2023, we licensed approximately 49 game titles under the terms of this agreement.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Gaming Technologies (“IGT”)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2017, we entered into a Game Development, Distribution, and Services agreement with IGT, and it was subsequently amended on January 1, 2019.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pay IGT a royalty rate of 7.5% of revenue for their proprietary assets and 15% of revenue for third-party game asset types. We also pay a monthly fee for porting. The initial term of the agreement is ten (10) years with up to two additional five-year periods. Costs incurred in connection with this agreement for the three months ended June 30, 2023 and 2022 totaled $1.9 million and $2.3 million, respectively, and are recognized as a component of cost of revenue. Costs incurred in connection with this agreement for the six months ended June 30, 2023 and 2022 totaled $3.9 million and $5.0 million, respectively, and are recognized as a component of cost of revenue.</w:t>
      </w:r>
    </w:p>
    <w:p>
      <w:pPr>
        <w:sectPr>
          <w:pgSz w:w="11900" w:h="16838" w:orient="portrait"/>
          <w:cols w:equalWidth="0" w:num="1">
            <w:col w:w="11000"/>
          </w:cols>
          <w:pgMar w:left="440" w:top="496" w:right="4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Note 12: Related party transactions</w:t>
      </w:r>
    </w:p>
    <w:p>
      <w:pPr>
        <w:sectPr>
          <w:pgSz w:w="11900" w:h="16838" w:orient="portrait"/>
          <w:cols w:equalWidth="0" w:num="1">
            <w:col w:w="11020"/>
          </w:cols>
          <w:pgMar w:left="440" w:top="405" w:right="439" w:bottom="1440" w:gutter="0" w:footer="0" w:header="0"/>
        </w:sectPr>
      </w:pPr>
    </w:p>
    <w:p>
      <w:pPr>
        <w:spacing w:after="0" w:line="14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related party transactions comprise of expenses for use of intellectual property, borrowings, and sublease previously described. We may also incur other expenses with related parties in the ordinary course of business, which are included in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expenses charged by our parent, DoubleU Games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23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Six months ended June 30,</w:t>
            </w:r>
          </w:p>
        </w:tc>
        <w:tc>
          <w:tcPr>
            <w:tcW w:w="3580" w:type="dxa"/>
            <w:vAlign w:val="bottom"/>
          </w:tcPr>
          <w:p>
            <w:pPr>
              <w:jc w:val="right"/>
              <w:ind w:right="1210"/>
              <w:spacing w:after="0"/>
              <w:rPr>
                <w:sz w:val="20"/>
                <w:szCs w:val="20"/>
                <w:color w:val="auto"/>
              </w:rPr>
            </w:pPr>
            <w:r>
              <w:rPr>
                <w:rFonts w:ascii="Arial" w:cs="Arial" w:eastAsia="Arial" w:hAnsi="Arial"/>
                <w:sz w:val="18"/>
                <w:szCs w:val="18"/>
                <w:b w:val="1"/>
                <w:bCs w:val="1"/>
                <w:color w:val="auto"/>
              </w:rPr>
              <w:t>Statement of</w:t>
            </w:r>
          </w:p>
        </w:tc>
      </w:tr>
      <w:tr>
        <w:trPr>
          <w:trHeight w:val="209"/>
        </w:trPr>
        <w:tc>
          <w:tcPr>
            <w:tcW w:w="25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Income and Comprehensive Income Line Item</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Royalty expense (see Note 11)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Cost of revenue</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Interest expense (see Note 5)</w:t>
            </w: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3580" w:type="dxa"/>
            <w:vAlign w:val="bottom"/>
          </w:tcPr>
          <w:p>
            <w:pPr>
              <w:jc w:val="right"/>
              <w:spacing w:after="0"/>
              <w:rPr>
                <w:sz w:val="20"/>
                <w:szCs w:val="20"/>
                <w:color w:val="auto"/>
              </w:rPr>
            </w:pPr>
            <w:r>
              <w:rPr>
                <w:rFonts w:ascii="Arial" w:cs="Arial" w:eastAsia="Arial" w:hAnsi="Arial"/>
                <w:sz w:val="18"/>
                <w:szCs w:val="18"/>
                <w:color w:val="auto"/>
              </w:rPr>
              <w:t>Interest expense</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Rent expense (see Note 9)</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w:t>
            </w:r>
          </w:p>
        </w:tc>
        <w:tc>
          <w:tcPr>
            <w:tcW w:w="3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General and administrative expense</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Other expense</w:t>
            </w:r>
          </w:p>
        </w:tc>
        <w:tc>
          <w:tcPr>
            <w:tcW w:w="7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3580" w:type="dxa"/>
            <w:vAlign w:val="bottom"/>
          </w:tcPr>
          <w:p>
            <w:pPr>
              <w:jc w:val="right"/>
              <w:spacing w:after="0"/>
              <w:rPr>
                <w:sz w:val="20"/>
                <w:szCs w:val="20"/>
                <w:color w:val="auto"/>
              </w:rPr>
            </w:pPr>
            <w:r>
              <w:rPr>
                <w:rFonts w:ascii="Arial" w:cs="Arial" w:eastAsia="Arial" w:hAnsi="Arial"/>
                <w:sz w:val="18"/>
                <w:szCs w:val="18"/>
                <w:color w:val="auto"/>
              </w:rPr>
              <w:t>General and administrative expense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our parent, DUG,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At June 30,</w:t>
            </w:r>
          </w:p>
        </w:tc>
        <w:tc>
          <w:tcPr>
            <w:tcW w:w="4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0"/>
              </w:rPr>
              <w:t>At December 31,</w:t>
            </w:r>
          </w:p>
        </w:tc>
        <w:tc>
          <w:tcPr>
            <w:tcW w:w="480" w:type="dxa"/>
            <w:vAlign w:val="bottom"/>
          </w:tcPr>
          <w:p>
            <w:pPr>
              <w:spacing w:after="0"/>
              <w:rPr>
                <w:sz w:val="18"/>
                <w:szCs w:val="18"/>
                <w:color w:val="auto"/>
              </w:rPr>
            </w:pPr>
          </w:p>
        </w:tc>
        <w:tc>
          <w:tcPr>
            <w:tcW w:w="2980" w:type="dxa"/>
            <w:vAlign w:val="bottom"/>
          </w:tcPr>
          <w:p>
            <w:pPr>
              <w:jc w:val="right"/>
              <w:ind w:right="390"/>
              <w:spacing w:after="0"/>
              <w:rPr>
                <w:sz w:val="20"/>
                <w:szCs w:val="20"/>
                <w:color w:val="auto"/>
              </w:rPr>
            </w:pPr>
            <w:r>
              <w:rPr>
                <w:rFonts w:ascii="Arial" w:cs="Arial" w:eastAsia="Arial" w:hAnsi="Arial"/>
                <w:sz w:val="18"/>
                <w:szCs w:val="18"/>
                <w:b w:val="1"/>
                <w:bCs w:val="1"/>
                <w:color w:val="auto"/>
              </w:rPr>
              <w:t>Statement of Consolidated</w:t>
            </w:r>
          </w:p>
        </w:tc>
        <w:tc>
          <w:tcPr>
            <w:tcW w:w="0" w:type="dxa"/>
            <w:vAlign w:val="bottom"/>
          </w:tcPr>
          <w:p>
            <w:pPr>
              <w:spacing w:after="0"/>
              <w:rPr>
                <w:sz w:val="1"/>
                <w:szCs w:val="1"/>
                <w:color w:val="auto"/>
              </w:rPr>
            </w:pPr>
          </w:p>
        </w:tc>
      </w:tr>
      <w:tr>
        <w:trPr>
          <w:trHeight w:val="32"/>
        </w:trPr>
        <w:tc>
          <w:tcPr>
            <w:tcW w:w="4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
                <w:szCs w:val="2"/>
                <w:color w:val="auto"/>
              </w:rPr>
            </w:pPr>
          </w:p>
        </w:tc>
        <w:tc>
          <w:tcPr>
            <w:tcW w:w="29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Balance Sheet Line Item</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CCEEFF"/>
            </w:tcBorders>
            <w:vMerge w:val="continue"/>
          </w:tcPr>
          <w:p>
            <w:pPr>
              <w:spacing w:after="0"/>
              <w:rPr>
                <w:sz w:val="18"/>
                <w:szCs w:val="18"/>
                <w:color w:val="auto"/>
              </w:rPr>
            </w:pPr>
          </w:p>
        </w:tc>
        <w:tc>
          <w:tcPr>
            <w:tcW w:w="2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4.6% Senior Notes with related party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Short-Term borrowing with related party</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4.6% Senior Notes with related party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39,454</w:t>
            </w:r>
          </w:p>
        </w:tc>
        <w:tc>
          <w:tcPr>
            <w:tcW w:w="48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w w:val="94"/>
              </w:rPr>
              <w:t>Long-Term borrowing with related party</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Royalties and other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CCEEFF"/>
          </w:tcPr>
          <w:p>
            <w:pPr>
              <w:spacing w:after="0"/>
              <w:rPr>
                <w:sz w:val="18"/>
                <w:szCs w:val="18"/>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 and accrued expenses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Short-term lease liability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w:t>
            </w:r>
          </w:p>
        </w:tc>
        <w:tc>
          <w:tcPr>
            <w:tcW w:w="48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Short-term operating lease liabilities</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4.6% Senior Notes with related party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480" w:type="dxa"/>
            <w:vAlign w:val="bottom"/>
            <w:shd w:val="clear" w:color="auto" w:fill="CCEEFF"/>
          </w:tcPr>
          <w:p>
            <w:pPr>
              <w:spacing w:after="0"/>
              <w:rPr>
                <w:sz w:val="18"/>
                <w:szCs w:val="18"/>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Other non-current liabilities</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benefit pension plan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a defined benefit pension plan under employment regulations in Korea. The plan services the employees located in Seoul and is a final waged-based pension plan, which provides a specified amount of pension benefit based on length of service. The total benefit obligation of $4.1 million and $4.0 million was included in other non-current liabilities as of June 30, 2023 and December 31, 2022, respectively, and the change in actuarial gains or losses, which is not significant, was included in other comprehensive income. The plan is funded.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2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previously announced acquisition of SuprNation AB (“SuprNation”), a European-based i-gaming company, is expected to close later this year, subject to satisfaction or waiver of certain customary closing conditions, including without limitation, certain regulatory approvals. Following the closing, SuprNation AB will be a direct, wholly-owned subsidiary of DDI-US.</w:t>
      </w:r>
    </w:p>
    <w:sectPr>
      <w:pgSz w:w="11900" w:h="16838" w:orient="portrait"/>
      <w:cols w:equalWidth="0" w:num="1">
        <w:col w:w="11020"/>
      </w:cols>
      <w:pgMar w:left="440" w:top="40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2023-08-08T15:24:06Z</dcterms:created>
  <dcterms:modified xsi:type="dcterms:W3CDTF">2023-08-08T15:24:06Z</dcterms:modified>
</cp:coreProperties>
</file>