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 Down Interactive LLC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6671 S. Las Vegas Blvd.</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Building D, Suite 210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Las Vegas, Nevada 89119</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+1-702-761-6899</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Press Release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28, 2026,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to announce that the Company will release its unaudited financial results for the fourth quarter ended December 31, 2025 on Wednesday, February 11, 2026, and hold a conference call and simultaneous webcast at 5:00 p.m. Eastern Time (2:00 p.m. Pacific Time) on the same date to discuss such financial results.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the Company, dated January 28, 2026</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2026</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Name: Joseph A. Sigrist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3695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9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TO REPORT 2025 FOURTH QUARTER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FEBRUARY 11 AND HOST CONFERENCE CALL AND WEBCAST</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SEOUL, KOREA – January 28, 2026 — DoubleDown Interactive Co., Ltd. (NASDAQ: DDI) (“</w:t>
      </w:r>
      <w:r>
        <w:rPr>
          <w:rFonts w:ascii="Times New Roman" w:cs="Times New Roman" w:eastAsia="Times New Roman" w:hAnsi="Times New Roman"/>
          <w:sz w:val="18"/>
          <w:szCs w:val="18"/>
          <w:u w:val="single" w:color="auto"/>
          <w:color w:val="auto"/>
        </w:rPr>
        <w:t>DoubleDown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leading developer and publisher of digital games on mobile and web-based platforms, announced today that it will release its 2025 fourth quarter financial results after the market closes on Wednesday, February 11, 2026, and host a conference call and simultaneous webcast at 5:00 p.m. ET (2:00 p.m. PT) that day. Both the call and webcast are open to the general public. On the call, DoubleDown management will review the Company’s financial results and provide a business update, followed by a question-and-answer session.</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 xml:space="preserve">To access the call, please use the following link: </w:t>
      </w:r>
      <w:r>
        <w:rPr>
          <w:rFonts w:ascii="Times New Roman" w:cs="Times New Roman" w:eastAsia="Times New Roman" w:hAnsi="Times New Roman"/>
          <w:sz w:val="18"/>
          <w:szCs w:val="18"/>
          <w:u w:val="single" w:color="auto"/>
          <w:color w:val="auto"/>
        </w:rPr>
        <w:t>DoubleDown Fourth Quarter 2025 Earnings Call</w:t>
      </w:r>
      <w:r>
        <w:rPr>
          <w:rFonts w:ascii="Times New Roman" w:cs="Times New Roman" w:eastAsia="Times New Roman" w:hAnsi="Times New Roman"/>
          <w:sz w:val="18"/>
          <w:szCs w:val="18"/>
          <w:color w:val="auto"/>
        </w:rPr>
        <w:t>. After registering, an email will be sent, including dial-in details and a unique conference call access code required to join the live call. To ensure you are connected prior to the beginning of the call, please register a minimum of 15 minutes before the start of the call.</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A simultaneous webcast of the conference call will be available at: </w:t>
      </w:r>
      <w:r>
        <w:rPr>
          <w:rFonts w:ascii="Times New Roman" w:cs="Times New Roman" w:eastAsia="Times New Roman" w:hAnsi="Times New Roman"/>
          <w:sz w:val="18"/>
          <w:szCs w:val="18"/>
          <w:u w:val="single" w:color="auto"/>
          <w:color w:val="auto"/>
        </w:rPr>
        <w:t>DoubleDown Fourth Quarter 2025 Earnings Webcast</w:t>
      </w:r>
      <w:r>
        <w:rPr>
          <w:rFonts w:ascii="Times New Roman" w:cs="Times New Roman" w:eastAsia="Times New Roman" w:hAnsi="Times New Roman"/>
          <w:sz w:val="18"/>
          <w:szCs w:val="18"/>
          <w:color w:val="auto"/>
        </w:rPr>
        <w:t xml:space="preserve">, or via the Investor Relations page of the DoubleDown website at </w:t>
      </w:r>
      <w:r>
        <w:rPr>
          <w:rFonts w:ascii="Times New Roman" w:cs="Times New Roman" w:eastAsia="Times New Roman" w:hAnsi="Times New Roman"/>
          <w:sz w:val="18"/>
          <w:szCs w:val="18"/>
          <w:u w:val="single" w:color="auto"/>
          <w:color w:val="auto"/>
        </w:rPr>
        <w:t>ir.doubledowninteractive.com</w:t>
      </w:r>
      <w:r>
        <w:rPr>
          <w:rFonts w:ascii="Times New Roman" w:cs="Times New Roman" w:eastAsia="Times New Roman" w:hAnsi="Times New Roman"/>
          <w:sz w:val="18"/>
          <w:szCs w:val="18"/>
          <w:color w:val="auto"/>
        </w:rPr>
        <w:t>. A replay will be available on the Company’s Investor Relations website shortly after the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DoubleDown recently expanded its social casino platform with the acquisition of WHOW Games GmbH, a developer headquartered in Hamburg, Germany. The Company’s subsidiary, SuprNation, also operates three real-money iGaming sites in Western Europe.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https://www.doubledowninteractive.com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Jaffoni, Christin Armacost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DDI@jcir.com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2026-01-28T06:08:50Z</dcterms:created>
  <dcterms:modified xsi:type="dcterms:W3CDTF">2026-01-28T06:08:50Z</dcterms:modified>
</cp:coreProperties>
</file>