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DoubleDown Interactive Co.,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1"/>
          <w:szCs w:val="21"/>
          <w:b w:val="1"/>
          <w:bCs w:val="1"/>
          <w:color w:val="0000FF"/>
        </w:rPr>
        <w:t>American depositary shares, each representing 0.05 common share, par value W10,000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2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25862B109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25862B109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 Riley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172,525.15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172,525.15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172,525.15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71" w:orient="portrait"/>
          <w:cols w:equalWidth="0" w:num="2">
            <w:col w:w="1100" w:space="60"/>
            <w:col w:w="9900"/>
          </w:cols>
          <w:pgMar w:left="320" w:top="166" w:right="51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percentage is based on 2,477,672 common shares outstanding according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issuer's final prospectus filed with the U.S. Securities and Exchange Commission on September 30,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25862B109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BRF Investments,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170,691.55</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170,691.55</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170,691.55</w:t>
      </w:r>
    </w:p>
    <w:p>
      <w:pPr>
        <w:sectPr>
          <w:pgSz w:w="11900" w:h="16871" w:orient="portrait"/>
          <w:cols w:equalWidth="0" w:num="1">
            <w:col w:w="11060"/>
          </w:cols>
          <w:pgMar w:left="320" w:top="166" w:right="51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percentage is based on 2,477,672 common shares outstanding according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issuer's final prospectus filed with the U.S. Securities and Exchange Commission on September 30,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25862B109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 Riley Securities,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60"/>
          </w:cols>
          <w:pgMar w:left="320" w:top="111" w:right="5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1,833.60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1,833.60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1,833.60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ectPr>
          <w:pgSz w:w="11900" w:h="16838" w:orient="portrait"/>
          <w:cols w:equalWidth="0" w:num="2">
            <w:col w:w="1100" w:space="60"/>
            <w:col w:w="9900"/>
          </w:cols>
          <w:pgMar w:left="320" w:top="111" w:right="51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percentage is based on 2,477,672 common shares outstanding according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issuer's final prospectus filed with the U.S. Securities and Exchange Commission on September 30, 2025.</w:t>
      </w:r>
    </w:p>
    <w:p>
      <w:pPr>
        <w:sectPr>
          <w:pgSz w:w="11900" w:h="16838" w:orient="portrait"/>
          <w:cols w:equalWidth="0" w:num="1">
            <w:col w:w="11060"/>
          </w:cols>
          <w:pgMar w:left="320" w:top="111" w:right="5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060"/>
          </w:cols>
          <w:pgMar w:left="320" w:top="111" w:right="519" w:bottom="0" w:gutter="0" w:footer="0" w:header="0"/>
          <w:type w:val="continuous"/>
        </w:sectPr>
      </w:pPr>
    </w:p>
    <w:bookmarkStart w:id="3" w:name="page4"/>
    <w:bookmarkEnd w:id="3"/>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25862B109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Bryant Riley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11" w:orient="portrait"/>
          <w:cols w:equalWidth="0" w:num="1">
            <w:col w:w="11060"/>
          </w:cols>
          <w:pgMar w:left="320" w:top="189" w:right="5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12,724.95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172,525.15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12,724.95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172,525.15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185,250.10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11" w:orient="portrait"/>
          <w:cols w:equalWidth="0" w:num="2">
            <w:col w:w="1100" w:space="60"/>
            <w:col w:w="9900"/>
          </w:cols>
          <w:pgMar w:left="320" w:top="189" w:right="51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percentage is based on 2,477,672 common shares outstanding according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issuer's final prospectus filed with the U.S. Securities and Exchange Commission on September 30,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DoubleDown Interactive Co.,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13F, Gangnam Finance Center, 152, Teheran-ro Gangnam-gu, Seoul, 06236, Republic of Korea</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244"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Riley Financial, Inc., a Delaware corporation ("BRF"), BRF Investments, LLC, a Delaware limited liability company ("BRFI"), B. Riley Securities, Inc., a Delaware corporation ("BRS"), and Bryant Riley, an individual. Each of the foregoing is referred to as a "Reporting Person" and collectively as the "Reporting Persons."</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11100 Santa Monica Blvd. Suite 800, Los Angeles, CA 90025</w:t>
      </w:r>
    </w:p>
    <w:p>
      <w:pPr>
        <w:sectPr>
          <w:pgSz w:w="11900" w:h="16911" w:orient="portrait"/>
          <w:cols w:equalWidth="0" w:num="1">
            <w:col w:w="11060"/>
          </w:cols>
          <w:pgMar w:left="320" w:top="189" w:right="519" w:bottom="0" w:gutter="0" w:footer="0" w:header="0"/>
          <w:type w:val="continuous"/>
        </w:sectPr>
      </w:pPr>
    </w:p>
    <w:bookmarkStart w:id="4" w:name="page5"/>
    <w:bookmarkEnd w:id="4"/>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BRF, BRFI and BRS are organized under the laws of the State of Delaware. Bryant Riley is a citizen of the United States of America.</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depositary shares, each representing 0.05 common share, par value W10,000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25862B109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80"/>
          </w:cols>
          <w:pgMar w:left="360" w:top="153" w:right="439" w:bottom="0" w:gutter="0" w:footer="0" w:header="0"/>
        </w:sect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spacing w:after="0" w:line="246" w:lineRule="auto"/>
        <w:rPr>
          <w:sz w:val="20"/>
          <w:szCs w:val="20"/>
          <w:color w:val="auto"/>
        </w:rPr>
      </w:pPr>
      <w:r>
        <w:rPr>
          <w:rFonts w:ascii="Times New Roman" w:cs="Times New Roman" w:eastAsia="Times New Roman" w:hAnsi="Times New Roman"/>
          <w:sz w:val="21"/>
          <w:szCs w:val="21"/>
          <w:color w:val="auto"/>
        </w:rPr>
        <w:t>(1) As of the date hereof, BRFI directly owned 3,413,831 ADS, which represent 170,691.55 Common Shares. (2) As of the date hereof, BRS directly owned 36,672 ADS, which represent 1,833.6 Common Shares. (3) As of the date hereof, BRF as the parent company of BRFI and BRS, may be deemed to beneficially own 3,450,503 ADS, which represent 172,525.2 Common Shares, of which (a) 3,413,831 ADS, which represent 170,691.6 Common Shares, are held directly by BRFI in the manner specified in the paragraph (1) above and (b) 36,672 ADS, which represent</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1,833.6 Common Shares, are held directly by BRS in the manner specified in the paragraph (2) above. (4) As of the</w:t>
      </w:r>
    </w:p>
    <w:p>
      <w:pPr>
        <w:spacing w:after="0" w:line="1" w:lineRule="exact"/>
        <w:rPr>
          <w:sz w:val="20"/>
          <w:szCs w:val="20"/>
          <w:color w:val="auto"/>
        </w:rPr>
      </w:pPr>
    </w:p>
    <w:p>
      <w:pPr>
        <w:ind w:left="920" w:hanging="912"/>
        <w:spacing w:after="0" w:line="232"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hereof, Bryant Riley may beneficially own 3,705,002 ADS, which represent 185,250.1 Common Shares, of which (a) 92,585 ADS, which represent 4,629.3 Common Shares, are held jointly by Bryant Riley and his spouse, (b) 33,338 ADS, which represent 1,666.9 Common Shares, are held as sole custodian for the benefit of Abigail Riley, (c) 34,638 ADS, which represent 1,731.9 Common Shares, are held as sole custodian for the benefit of Charlie Riley, (d) 33,338 ADS, which represent 1,666.9 Common Shares, are held as sole custodian for the benefit of Eloise Riley, (e) 60,600 ADS, which represent 3,030 Common Shares, are held as sole custodian for the benefit of Susan Riley, (f) 3,413,831 ADS, which represent 170,691.6 Common Shares, are held directly by BRFI in the manner specified in the paragraph (1) above and (g) 36,672 ADS, which represent 1,833.6 Common Shares, are held directly by BRS in the manner specified in the paragraph (2) above.</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information contained on the cover pages to this Amendment is incorporated by reference herein.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contained on the cover pages to this Amendment is incorporated by reference herein.</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contained on the cover pages to this Amendment is incorporated by reference herein.</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contained on the cover pages to this Amendment is incorporated by reference herein.</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100"/>
          </w:cols>
          <w:pgMar w:left="360" w:top="153" w:right="439" w:bottom="0" w:gutter="0" w:footer="0" w:header="0"/>
          <w:type w:val="continuous"/>
        </w:sectPr>
      </w:pPr>
    </w:p>
    <w:bookmarkStart w:id="5" w:name="page6"/>
    <w:bookmarkEnd w:id="5"/>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The information contained on the cover pages to this Amendment is incorporated by reference herein.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BRFI and BRS are subsidiaries of BRF.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B. Riley Financial, Inc.</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Bryant Riley</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Bryant Riley/Co-Chief Executive Officer</w:t>
      </w:r>
    </w:p>
    <w:p>
      <w:pPr>
        <w:spacing w:after="0" w:line="44"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BRF Investments,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Bryant Riley</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Bryant Riley/Authorized Signatory</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B. Riley Securities, Inc.</w:t>
      </w:r>
    </w:p>
    <w:p>
      <w:pPr>
        <w:spacing w:after="0" w:line="152"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Moore</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Andrew Moore/Co-Chief Executive Officer</w:t>
      </w:r>
    </w:p>
    <w:p>
      <w:pPr>
        <w:spacing w:after="0" w:line="44"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Bryant Riley</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Bryant Riley</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Bryant Riley</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2025-11-14T13:11:31Z</dcterms:created>
  <dcterms:modified xsi:type="dcterms:W3CDTF">2025-11-14T13:11:31Z</dcterms:modified>
</cp:coreProperties>
</file>