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RULE 13a-16 OR 15d-16</w:t>
      </w:r>
    </w:p>
    <w:p>
      <w:pPr>
        <w:jc w:val="center"/>
        <w:ind w:right="-1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 the month of March, 2023</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Commission File Number 001-39349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248920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DoubleDown Interactive Co., Ltd.</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Joseph A. Sigrist, Chief Financial Officer</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 DoubleDown Interactive, LLC</w:t>
      </w:r>
    </w:p>
    <w:p>
      <w:pPr>
        <w:jc w:val="center"/>
        <w:ind w:right="-119"/>
        <w:spacing w:after="0" w:line="181" w:lineRule="auto"/>
        <w:rPr>
          <w:sz w:val="20"/>
          <w:szCs w:val="20"/>
          <w:color w:val="auto"/>
        </w:rPr>
      </w:pPr>
      <w:r>
        <w:rPr>
          <w:rFonts w:ascii="Arial" w:cs="Arial" w:eastAsia="Arial" w:hAnsi="Arial"/>
          <w:sz w:val="18"/>
          <w:szCs w:val="18"/>
          <w:b w:val="1"/>
          <w:bCs w:val="1"/>
          <w:color w:val="auto"/>
        </w:rPr>
        <w:t>605 5</w:t>
      </w:r>
      <w:r>
        <w:rPr>
          <w:rFonts w:ascii="Arial" w:cs="Arial" w:eastAsia="Arial" w:hAnsi="Arial"/>
          <w:sz w:val="26"/>
          <w:szCs w:val="26"/>
          <w:b w:val="1"/>
          <w:bCs w:val="1"/>
          <w:color w:val="auto"/>
          <w:vertAlign w:val="superscript"/>
        </w:rPr>
        <w:t>th</w:t>
      </w:r>
      <w:r>
        <w:rPr>
          <w:rFonts w:ascii="Arial" w:cs="Arial" w:eastAsia="Arial" w:hAnsi="Arial"/>
          <w:sz w:val="18"/>
          <w:szCs w:val="18"/>
          <w:b w:val="1"/>
          <w:bCs w:val="1"/>
          <w:color w:val="auto"/>
        </w:rPr>
        <w:t xml:space="preserve"> Avenue, Suite 300</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Seattle, WA 98104</w:t>
      </w:r>
    </w:p>
    <w:p>
      <w:pPr>
        <w:spacing w:after="0" w:line="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+1-206-408-4545</w:t>
      </w:r>
    </w:p>
    <w:p>
      <w:pPr>
        <w:spacing w:after="0" w:line="2"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spacing w:after="0" w:line="207" w:lineRule="exact"/>
        <w:tabs>
          <w:tab w:leader="none" w:pos="8640" w:val="left"/>
        </w:tabs>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Form 20-F</w:t>
      </w:r>
      <w:r>
        <w:rPr>
          <w:rFonts w:ascii="MS PGothic" w:cs="MS PGothic" w:eastAsia="MS PGothic" w:hAnsi="MS PGothic"/>
          <w:sz w:val="17"/>
          <w:szCs w:val="17"/>
          <w:color w:val="auto"/>
        </w:rPr>
        <w:t xml:space="preserve">  ☐ </w:t>
      </w:r>
      <w:r>
        <w:rPr>
          <w:rFonts w:ascii="Arial" w:cs="Arial" w:eastAsia="Arial" w:hAnsi="Arial"/>
          <w:sz w:val="17"/>
          <w:szCs w:val="17"/>
          <w:color w:val="auto"/>
        </w:rPr>
        <w:t>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189865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233045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00"/>
          </w:cols>
          <w:pgMar w:left="440" w:top="382" w:right="5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CONTAINED IN THIS FORM 6-K REPORT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Public Notice for Convocation of the 2023 Annual General Meeting of DoubleDown Interactive Co., Ltd.</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On March 2, 2023, the Board of Directors of DoubleDown Interactive Co., Ltd. (the “Company”) approved and ratified to convene the 15th Annual General Meeting of Shareholders (the “AGM”) of the Company as set forth below:</w:t>
      </w:r>
    </w:p>
    <w:p>
      <w:pPr>
        <w:spacing w:after="0" w:line="197" w:lineRule="exact"/>
        <w:rPr>
          <w:sz w:val="20"/>
          <w:szCs w:val="20"/>
          <w:color w:val="auto"/>
        </w:rPr>
      </w:pPr>
    </w:p>
    <w:p>
      <w:pPr>
        <w:ind w:left="960" w:hanging="532"/>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Date &amp; Time: March 29, 2023, 11:00 a.m. (Korea Standard Time) / March 28, 2023, 9:00 p.m. (Eastern Time, US)</w:t>
      </w:r>
    </w:p>
    <w:p>
      <w:pPr>
        <w:spacing w:after="0" w:line="130" w:lineRule="exact"/>
        <w:rPr>
          <w:rFonts w:ascii="Arial" w:cs="Arial" w:eastAsia="Arial" w:hAnsi="Arial"/>
          <w:sz w:val="18"/>
          <w:szCs w:val="18"/>
          <w:color w:val="auto"/>
        </w:rPr>
      </w:pPr>
    </w:p>
    <w:p>
      <w:pPr>
        <w:ind w:left="960" w:hanging="532"/>
        <w:spacing w:after="0" w:line="293" w:lineRule="auto"/>
        <w:tabs>
          <w:tab w:leader="none" w:pos="960" w:val="left"/>
        </w:tabs>
        <w:numPr>
          <w:ilvl w:val="0"/>
          <w:numId w:val="1"/>
        </w:numPr>
        <w:rPr>
          <w:rFonts w:ascii="Arial" w:cs="Arial" w:eastAsia="Arial" w:hAnsi="Arial"/>
          <w:sz w:val="16"/>
          <w:szCs w:val="16"/>
          <w:color w:val="auto"/>
        </w:rPr>
      </w:pPr>
      <w:r>
        <w:rPr>
          <w:rFonts w:ascii="Arial" w:cs="Arial" w:eastAsia="Arial" w:hAnsi="Arial"/>
          <w:sz w:val="16"/>
          <w:szCs w:val="16"/>
          <w:color w:val="auto"/>
        </w:rPr>
        <w:t>Who Can Attend: Holders of the Company’s common shares as of December 31, 2022 (the “Record Date”). Holders of American Depositary Shares (“ADSs”), each representing 0.05 share of a common share, may not attend in person or vote at the AGM. Instead, holders of record of ADSs as of the Record Date shall instruct Citibank, N.A., the depositary of the ADSs (the “Depositary”), as to how to vote the common shares represented by the ADSs. Any ADS holder that wishes to attend the AGM or vote directly must cancel their ADSs in exchange for common shares and shall make arrangements to deliver their ADSs to the Depositary for cancellation with sufficient time to allow for the delivery and exchange of their ADSs for the underlying common shares before the Record Date.</w:t>
      </w:r>
    </w:p>
    <w:p>
      <w:pPr>
        <w:spacing w:after="0" w:line="69" w:lineRule="exact"/>
        <w:rPr>
          <w:rFonts w:ascii="Arial" w:cs="Arial" w:eastAsia="Arial" w:hAnsi="Arial"/>
          <w:sz w:val="16"/>
          <w:szCs w:val="16"/>
          <w:color w:val="auto"/>
        </w:rPr>
      </w:pPr>
    </w:p>
    <w:p>
      <w:pPr>
        <w:ind w:left="960" w:hanging="532"/>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Venue: Meeting room, 152 Teheran-Ro, 13th floor, Gangnam-gu, Seoul.</w:t>
      </w:r>
    </w:p>
    <w:p>
      <w:pPr>
        <w:spacing w:after="0" w:line="130" w:lineRule="exact"/>
        <w:rPr>
          <w:rFonts w:ascii="Arial" w:cs="Arial" w:eastAsia="Arial" w:hAnsi="Arial"/>
          <w:sz w:val="18"/>
          <w:szCs w:val="18"/>
          <w:color w:val="auto"/>
        </w:rPr>
      </w:pPr>
    </w:p>
    <w:p>
      <w:pPr>
        <w:ind w:left="960" w:right="140" w:hanging="532"/>
        <w:spacing w:after="0" w:line="277"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Methods of Attending: Holders of the ADSs should send the Depositary their voting instructions using the ADS voting card as separately instructed.</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Reports and Proposals to be presented and considered at the AGM:</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1"/>
        </w:numPr>
        <w:rPr>
          <w:rFonts w:ascii="Arial" w:cs="Arial" w:eastAsia="Arial" w:hAnsi="Arial"/>
          <w:sz w:val="18"/>
          <w:szCs w:val="18"/>
          <w:color w:val="auto"/>
        </w:rPr>
      </w:pPr>
      <w:r>
        <w:rPr>
          <w:rFonts w:ascii="Arial" w:cs="Arial" w:eastAsia="Arial" w:hAnsi="Arial"/>
          <w:sz w:val="18"/>
          <w:szCs w:val="18"/>
          <w:color w:val="auto"/>
        </w:rPr>
        <w:t>Reports: audit report, business report, report on the operating status of the internal accounting management system</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1"/>
        </w:numPr>
        <w:rPr>
          <w:rFonts w:ascii="Arial" w:cs="Arial" w:eastAsia="Arial" w:hAnsi="Arial"/>
          <w:sz w:val="18"/>
          <w:szCs w:val="18"/>
          <w:color w:val="auto"/>
        </w:rPr>
      </w:pPr>
      <w:r>
        <w:rPr>
          <w:rFonts w:ascii="Arial" w:cs="Arial" w:eastAsia="Arial" w:hAnsi="Arial"/>
          <w:sz w:val="18"/>
          <w:szCs w:val="18"/>
          <w:color w:val="auto"/>
        </w:rPr>
        <w:t>Proposals</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2"/>
          <w:numId w:val="1"/>
        </w:numPr>
        <w:rPr>
          <w:rFonts w:ascii="Arial" w:cs="Arial" w:eastAsia="Arial" w:hAnsi="Arial"/>
          <w:sz w:val="18"/>
          <w:szCs w:val="18"/>
          <w:color w:val="auto"/>
        </w:rPr>
      </w:pPr>
      <w:r>
        <w:rPr>
          <w:rFonts w:ascii="Arial" w:cs="Arial" w:eastAsia="Arial" w:hAnsi="Arial"/>
          <w:sz w:val="18"/>
          <w:szCs w:val="18"/>
          <w:color w:val="auto"/>
        </w:rPr>
        <w:t>Proposal No. 1: Approval of the 15th financial statements for the fiscal year ended December 31, 2022</w:t>
      </w:r>
    </w:p>
    <w:p>
      <w:pPr>
        <w:spacing w:after="0" w:line="130" w:lineRule="exact"/>
        <w:rPr>
          <w:rFonts w:ascii="Arial" w:cs="Arial" w:eastAsia="Arial" w:hAnsi="Arial"/>
          <w:sz w:val="18"/>
          <w:szCs w:val="18"/>
          <w:color w:val="auto"/>
        </w:rPr>
      </w:pPr>
    </w:p>
    <w:p>
      <w:pPr>
        <w:ind w:left="1960" w:right="840" w:hanging="533"/>
        <w:spacing w:after="0" w:line="277" w:lineRule="auto"/>
        <w:tabs>
          <w:tab w:leader="none" w:pos="1960" w:val="left"/>
        </w:tabs>
        <w:numPr>
          <w:ilvl w:val="2"/>
          <w:numId w:val="1"/>
        </w:numPr>
        <w:rPr>
          <w:rFonts w:ascii="Arial" w:cs="Arial" w:eastAsia="Arial" w:hAnsi="Arial"/>
          <w:sz w:val="18"/>
          <w:szCs w:val="18"/>
          <w:color w:val="auto"/>
        </w:rPr>
      </w:pPr>
      <w:r>
        <w:rPr>
          <w:rFonts w:ascii="Arial" w:cs="Arial" w:eastAsia="Arial" w:hAnsi="Arial"/>
          <w:sz w:val="18"/>
          <w:szCs w:val="18"/>
          <w:color w:val="auto"/>
        </w:rPr>
        <w:t>Proposal No. 2 (Shareholder Proposal): Approval of the declaration of a cash dividend in the aggregate amount of $50,000,000 as proposed by STIC Special Situation Diamond Limited</w:t>
      </w:r>
    </w:p>
    <w:p>
      <w:pPr>
        <w:spacing w:after="0" w:line="75" w:lineRule="exact"/>
        <w:rPr>
          <w:rFonts w:ascii="Arial" w:cs="Arial" w:eastAsia="Arial" w:hAnsi="Arial"/>
          <w:sz w:val="18"/>
          <w:szCs w:val="18"/>
          <w:color w:val="auto"/>
        </w:rPr>
      </w:pPr>
    </w:p>
    <w:p>
      <w:pPr>
        <w:ind w:left="1960" w:hanging="533"/>
        <w:spacing w:after="0"/>
        <w:tabs>
          <w:tab w:leader="none" w:pos="1960" w:val="left"/>
        </w:tabs>
        <w:numPr>
          <w:ilvl w:val="2"/>
          <w:numId w:val="1"/>
        </w:numPr>
        <w:rPr>
          <w:rFonts w:ascii="Arial" w:cs="Arial" w:eastAsia="Arial" w:hAnsi="Arial"/>
          <w:sz w:val="18"/>
          <w:szCs w:val="18"/>
          <w:color w:val="auto"/>
        </w:rPr>
      </w:pPr>
      <w:r>
        <w:rPr>
          <w:rFonts w:ascii="Arial" w:cs="Arial" w:eastAsia="Arial" w:hAnsi="Arial"/>
          <w:sz w:val="18"/>
          <w:szCs w:val="18"/>
          <w:color w:val="auto"/>
        </w:rPr>
        <w:t>Proposal No. 3: Approval of the amendment to the Company’s Articles of Incorporation</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2"/>
          <w:numId w:val="1"/>
        </w:numPr>
        <w:rPr>
          <w:rFonts w:ascii="Arial" w:cs="Arial" w:eastAsia="Arial" w:hAnsi="Arial"/>
          <w:sz w:val="18"/>
          <w:szCs w:val="18"/>
          <w:color w:val="auto"/>
        </w:rPr>
      </w:pPr>
      <w:r>
        <w:rPr>
          <w:rFonts w:ascii="Arial" w:cs="Arial" w:eastAsia="Arial" w:hAnsi="Arial"/>
          <w:sz w:val="18"/>
          <w:szCs w:val="18"/>
          <w:color w:val="auto"/>
        </w:rPr>
        <w:t>Proposal No. 4: Election of independent directors</w:t>
      </w:r>
    </w:p>
    <w:p>
      <w:pPr>
        <w:spacing w:after="0" w:line="130" w:lineRule="exact"/>
        <w:rPr>
          <w:rFonts w:ascii="Arial" w:cs="Arial" w:eastAsia="Arial" w:hAnsi="Arial"/>
          <w:sz w:val="18"/>
          <w:szCs w:val="18"/>
          <w:color w:val="auto"/>
        </w:rPr>
      </w:pPr>
    </w:p>
    <w:p>
      <w:pPr>
        <w:ind w:left="2420" w:hanging="332"/>
        <w:spacing w:after="0"/>
        <w:tabs>
          <w:tab w:leader="none" w:pos="2420" w:val="left"/>
        </w:tabs>
        <w:numPr>
          <w:ilvl w:val="3"/>
          <w:numId w:val="1"/>
        </w:numPr>
        <w:rPr>
          <w:rFonts w:ascii="Arial" w:cs="Arial" w:eastAsia="Arial" w:hAnsi="Arial"/>
          <w:sz w:val="18"/>
          <w:szCs w:val="18"/>
          <w:color w:val="auto"/>
        </w:rPr>
      </w:pPr>
      <w:r>
        <w:rPr>
          <w:rFonts w:ascii="Arial" w:cs="Arial" w:eastAsia="Arial" w:hAnsi="Arial"/>
          <w:sz w:val="18"/>
          <w:szCs w:val="18"/>
          <w:color w:val="auto"/>
        </w:rPr>
        <w:t>Election of Yanghoon Cho as an independent director</w:t>
      </w:r>
    </w:p>
    <w:p>
      <w:pPr>
        <w:spacing w:after="0" w:line="130" w:lineRule="exact"/>
        <w:rPr>
          <w:rFonts w:ascii="Arial" w:cs="Arial" w:eastAsia="Arial" w:hAnsi="Arial"/>
          <w:sz w:val="18"/>
          <w:szCs w:val="18"/>
          <w:color w:val="auto"/>
        </w:rPr>
      </w:pPr>
    </w:p>
    <w:p>
      <w:pPr>
        <w:ind w:left="2420" w:hanging="332"/>
        <w:spacing w:after="0"/>
        <w:tabs>
          <w:tab w:leader="none" w:pos="2420" w:val="left"/>
        </w:tabs>
        <w:numPr>
          <w:ilvl w:val="3"/>
          <w:numId w:val="1"/>
        </w:numPr>
        <w:rPr>
          <w:rFonts w:ascii="Arial" w:cs="Arial" w:eastAsia="Arial" w:hAnsi="Arial"/>
          <w:sz w:val="18"/>
          <w:szCs w:val="18"/>
          <w:color w:val="auto"/>
        </w:rPr>
      </w:pPr>
      <w:r>
        <w:rPr>
          <w:rFonts w:ascii="Arial" w:cs="Arial" w:eastAsia="Arial" w:hAnsi="Arial"/>
          <w:sz w:val="18"/>
          <w:szCs w:val="18"/>
          <w:color w:val="auto"/>
        </w:rPr>
        <w:t>Election of Jaesung Chung as an independent director</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2"/>
          <w:numId w:val="1"/>
        </w:numPr>
        <w:rPr>
          <w:rFonts w:ascii="Arial" w:cs="Arial" w:eastAsia="Arial" w:hAnsi="Arial"/>
          <w:sz w:val="18"/>
          <w:szCs w:val="18"/>
          <w:color w:val="auto"/>
        </w:rPr>
      </w:pPr>
      <w:r>
        <w:rPr>
          <w:rFonts w:ascii="Arial" w:cs="Arial" w:eastAsia="Arial" w:hAnsi="Arial"/>
          <w:sz w:val="18"/>
          <w:szCs w:val="18"/>
          <w:color w:val="auto"/>
        </w:rPr>
        <w:t>Proposal No. 5: Approval of the remuneration limit for independent directors and executive officers</w:t>
      </w:r>
    </w:p>
    <w:p>
      <w:pPr>
        <w:spacing w:after="0" w:line="130" w:lineRule="exact"/>
        <w:rPr>
          <w:rFonts w:ascii="Arial" w:cs="Arial" w:eastAsia="Arial" w:hAnsi="Arial"/>
          <w:sz w:val="18"/>
          <w:szCs w:val="18"/>
          <w:color w:val="auto"/>
        </w:rPr>
      </w:pPr>
    </w:p>
    <w:p>
      <w:pPr>
        <w:ind w:left="1960" w:hanging="533"/>
        <w:spacing w:after="0" w:line="342" w:lineRule="auto"/>
        <w:tabs>
          <w:tab w:leader="none" w:pos="1960" w:val="left"/>
        </w:tabs>
        <w:numPr>
          <w:ilvl w:val="2"/>
          <w:numId w:val="1"/>
        </w:numPr>
        <w:rPr>
          <w:rFonts w:ascii="Arial" w:cs="Arial" w:eastAsia="Arial" w:hAnsi="Arial"/>
          <w:sz w:val="16"/>
          <w:szCs w:val="16"/>
          <w:color w:val="auto"/>
        </w:rPr>
      </w:pPr>
      <w:r>
        <w:rPr>
          <w:rFonts w:ascii="Arial" w:cs="Arial" w:eastAsia="Arial" w:hAnsi="Arial"/>
          <w:sz w:val="16"/>
          <w:szCs w:val="16"/>
          <w:color w:val="auto"/>
        </w:rPr>
        <w:t>Proposal No. 6: Ratification of the appointment of Samil PricewaterhouseCoopers as the independent registered public accounting firm of the Company for the fiscal years ending December 31, 2023, December 31, 2024, and December 31, 2025</w:t>
      </w:r>
    </w:p>
    <w:p>
      <w:pPr>
        <w:spacing w:after="0" w:line="29" w:lineRule="exact"/>
        <w:rPr>
          <w:rFonts w:ascii="Arial" w:cs="Arial" w:eastAsia="Arial" w:hAnsi="Arial"/>
          <w:sz w:val="16"/>
          <w:szCs w:val="16"/>
          <w:color w:val="auto"/>
        </w:rPr>
      </w:pPr>
    </w:p>
    <w:p>
      <w:pPr>
        <w:ind w:left="960" w:hanging="532"/>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Proposal Details</w:t>
      </w:r>
    </w:p>
    <w:p>
      <w:pPr>
        <w:sectPr>
          <w:pgSz w:w="11900" w:h="16838" w:orient="portrait"/>
          <w:cols w:equalWidth="0" w:num="1">
            <w:col w:w="11000"/>
          </w:cols>
          <w:pgMar w:left="440" w:top="270" w:right="459" w:bottom="1440" w:gutter="0" w:footer="0" w:header="0"/>
        </w:sectPr>
      </w:pPr>
    </w:p>
    <w:bookmarkStart w:id="2" w:name="page3"/>
    <w:bookmarkEnd w:id="2"/>
    <w:p>
      <w:pPr>
        <w:ind w:left="444" w:right="3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Proposal No. 2 (Shareholder Proposal): To approve the declaration of a cash dividend in the aggregate amount of $50,000,000 as proposed by STIC Special Situation Diamond Limited</w:t>
      </w:r>
    </w:p>
    <w:p>
      <w:pPr>
        <w:spacing w:after="0" w:line="6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Proposal No. 3: To approve the amendment to Chapter I, Article 2 of the Company’s Articles of Incorporation as follows:</w:t>
      </w:r>
    </w:p>
    <w:p>
      <w:pPr>
        <w:sectPr>
          <w:pgSz w:w="11900" w:h="16838" w:orient="portrait"/>
          <w:cols w:equalWidth="0" w:num="1">
            <w:col w:w="11024"/>
          </w:cols>
          <w:pgMar w:left="436" w:top="274" w:right="439" w:bottom="1440" w:gutter="0" w:footer="0" w:header="0"/>
        </w:sectPr>
      </w:pPr>
    </w:p>
    <w:p>
      <w:pPr>
        <w:spacing w:after="0" w:line="248" w:lineRule="exact"/>
        <w:rPr>
          <w:sz w:val="20"/>
          <w:szCs w:val="20"/>
          <w:color w:val="auto"/>
        </w:rPr>
      </w:pPr>
    </w:p>
    <w:p>
      <w:pPr>
        <w:jc w:val="center"/>
        <w:ind w:left="304"/>
        <w:spacing w:after="0"/>
        <w:rPr>
          <w:sz w:val="20"/>
          <w:szCs w:val="20"/>
          <w:color w:val="auto"/>
        </w:rPr>
      </w:pPr>
      <w:r>
        <w:rPr>
          <w:rFonts w:ascii="Arial" w:cs="Arial" w:eastAsia="Arial" w:hAnsi="Arial"/>
          <w:sz w:val="14"/>
          <w:szCs w:val="14"/>
          <w:color w:val="auto"/>
        </w:rPr>
        <w:t>Before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23831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 w:lineRule="exact"/>
        <w:rPr>
          <w:sz w:val="20"/>
          <w:szCs w:val="20"/>
          <w:color w:val="auto"/>
        </w:rPr>
      </w:pPr>
    </w:p>
    <w:p>
      <w:pPr>
        <w:jc w:val="center"/>
        <w:ind w:left="304"/>
        <w:spacing w:after="0"/>
        <w:rPr>
          <w:sz w:val="20"/>
          <w:szCs w:val="20"/>
          <w:color w:val="auto"/>
        </w:rPr>
      </w:pPr>
      <w:r>
        <w:rPr>
          <w:rFonts w:ascii="Arial" w:cs="Arial" w:eastAsia="Arial" w:hAnsi="Arial"/>
          <w:sz w:val="14"/>
          <w:szCs w:val="14"/>
          <w:color w:val="auto"/>
        </w:rPr>
        <w:t>Chapter 1 General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23831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87" w:lineRule="exact"/>
        <w:rPr>
          <w:sz w:val="20"/>
          <w:szCs w:val="20"/>
          <w:color w:val="auto"/>
        </w:rPr>
      </w:pPr>
    </w:p>
    <w:p>
      <w:pPr>
        <w:ind w:left="4"/>
        <w:spacing w:after="0"/>
        <w:rPr>
          <w:sz w:val="20"/>
          <w:szCs w:val="20"/>
          <w:color w:val="auto"/>
        </w:rPr>
      </w:pPr>
      <w:r>
        <w:rPr>
          <w:rFonts w:ascii="Arial" w:cs="Arial" w:eastAsia="Arial" w:hAnsi="Arial"/>
          <w:sz w:val="18"/>
          <w:szCs w:val="18"/>
          <w:color w:val="auto"/>
        </w:rPr>
        <w:t>Article 2 (Purposes)</w:t>
      </w:r>
    </w:p>
    <w:p>
      <w:pPr>
        <w:spacing w:after="0" w:line="158"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The purpose of the Company is to engage in the following business activities:</w:t>
      </w:r>
    </w:p>
    <w:p>
      <w:pPr>
        <w:spacing w:after="0" w:line="103" w:lineRule="exact"/>
        <w:rPr>
          <w:sz w:val="20"/>
          <w:szCs w:val="20"/>
          <w:color w:val="auto"/>
        </w:rPr>
      </w:pPr>
    </w:p>
    <w:p>
      <w:pPr>
        <w:jc w:val="center"/>
        <w:ind w:left="304"/>
        <w:spacing w:after="0"/>
        <w:rPr>
          <w:sz w:val="20"/>
          <w:szCs w:val="20"/>
          <w:color w:val="auto"/>
        </w:rPr>
      </w:pPr>
      <w:r>
        <w:rPr>
          <w:rFonts w:ascii="Arial" w:cs="Arial" w:eastAsia="Arial" w:hAnsi="Arial"/>
          <w:sz w:val="18"/>
          <w:szCs w:val="18"/>
          <w:color w:val="auto"/>
        </w:rPr>
        <w:t>elision</w:t>
      </w:r>
    </w:p>
    <w:p>
      <w:pPr>
        <w:spacing w:after="0" w:line="158" w:lineRule="exact"/>
        <w:rPr>
          <w:sz w:val="20"/>
          <w:szCs w:val="20"/>
          <w:color w:val="auto"/>
        </w:rPr>
      </w:pPr>
    </w:p>
    <w:p>
      <w:pPr>
        <w:ind w:left="4" w:right="300" w:hanging="4"/>
        <w:spacing w:after="0" w:line="277" w:lineRule="auto"/>
        <w:tabs>
          <w:tab w:leader="none" w:pos="274"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activities incidental to each of the aforementioned business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left="304"/>
        <w:spacing w:after="0"/>
        <w:rPr>
          <w:sz w:val="20"/>
          <w:szCs w:val="20"/>
          <w:color w:val="auto"/>
        </w:rPr>
      </w:pPr>
      <w:r>
        <w:rPr>
          <w:rFonts w:ascii="Arial" w:cs="Arial" w:eastAsia="Arial" w:hAnsi="Arial"/>
          <w:sz w:val="14"/>
          <w:szCs w:val="14"/>
          <w:color w:val="auto"/>
        </w:rPr>
        <w:t>Supplementary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23831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93" w:lineRule="exact"/>
        <w:rPr>
          <w:sz w:val="20"/>
          <w:szCs w:val="20"/>
          <w:color w:val="auto"/>
        </w:rPr>
      </w:pPr>
    </w:p>
    <w:p>
      <w:pPr>
        <w:ind w:left="4"/>
        <w:spacing w:after="0"/>
        <w:rPr>
          <w:sz w:val="20"/>
          <w:szCs w:val="20"/>
          <w:color w:val="auto"/>
        </w:rPr>
      </w:pPr>
      <w:r>
        <w:rPr>
          <w:rFonts w:ascii="Arial" w:cs="Arial" w:eastAsia="Arial" w:hAnsi="Arial"/>
          <w:sz w:val="18"/>
          <w:szCs w:val="18"/>
          <w:color w:val="auto"/>
        </w:rPr>
        <w:t>&lt;New article&gt;</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center"/>
        <w:ind w:left="-142"/>
        <w:spacing w:after="0"/>
        <w:rPr>
          <w:sz w:val="20"/>
          <w:szCs w:val="20"/>
          <w:color w:val="auto"/>
        </w:rPr>
      </w:pPr>
      <w:r>
        <w:rPr>
          <w:rFonts w:ascii="Arial" w:cs="Arial" w:eastAsia="Arial" w:hAnsi="Arial"/>
          <w:sz w:val="14"/>
          <w:szCs w:val="14"/>
          <w:color w:val="auto"/>
        </w:rPr>
        <w:t>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3497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1" w:lineRule="exact"/>
        <w:rPr>
          <w:sz w:val="20"/>
          <w:szCs w:val="20"/>
          <w:color w:val="auto"/>
        </w:rPr>
      </w:pPr>
    </w:p>
    <w:p>
      <w:pPr>
        <w:jc w:val="center"/>
        <w:ind w:left="-142"/>
        <w:spacing w:after="0"/>
        <w:rPr>
          <w:sz w:val="20"/>
          <w:szCs w:val="20"/>
          <w:color w:val="auto"/>
        </w:rPr>
      </w:pPr>
      <w:r>
        <w:rPr>
          <w:rFonts w:ascii="Arial" w:cs="Arial" w:eastAsia="Arial" w:hAnsi="Arial"/>
          <w:sz w:val="14"/>
          <w:szCs w:val="14"/>
          <w:color w:val="auto"/>
        </w:rPr>
        <w:t>Chapter 1 General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3497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87" w:lineRule="exact"/>
        <w:rPr>
          <w:sz w:val="20"/>
          <w:szCs w:val="20"/>
          <w:color w:val="auto"/>
        </w:rPr>
      </w:pPr>
    </w:p>
    <w:p>
      <w:pPr>
        <w:ind w:left="3"/>
        <w:spacing w:after="0"/>
        <w:rPr>
          <w:sz w:val="20"/>
          <w:szCs w:val="20"/>
          <w:color w:val="auto"/>
        </w:rPr>
      </w:pPr>
      <w:r>
        <w:rPr>
          <w:rFonts w:ascii="Arial" w:cs="Arial" w:eastAsia="Arial" w:hAnsi="Arial"/>
          <w:sz w:val="18"/>
          <w:szCs w:val="18"/>
          <w:color w:val="auto"/>
        </w:rPr>
        <w:t>Article 2 (Purposes)</w:t>
      </w:r>
    </w:p>
    <w:p>
      <w:pPr>
        <w:spacing w:after="0" w:line="131" w:lineRule="exact"/>
        <w:rPr>
          <w:sz w:val="20"/>
          <w:szCs w:val="20"/>
          <w:color w:val="auto"/>
        </w:rPr>
      </w:pPr>
    </w:p>
    <w:p>
      <w:pPr>
        <w:ind w:left="3" w:right="520"/>
        <w:spacing w:after="0" w:line="277" w:lineRule="auto"/>
        <w:rPr>
          <w:sz w:val="20"/>
          <w:szCs w:val="20"/>
          <w:color w:val="auto"/>
        </w:rPr>
      </w:pPr>
      <w:r>
        <w:rPr>
          <w:rFonts w:ascii="Arial" w:cs="Arial" w:eastAsia="Arial" w:hAnsi="Arial"/>
          <w:sz w:val="18"/>
          <w:szCs w:val="18"/>
          <w:color w:val="auto"/>
        </w:rPr>
        <w:t>The purpose of the Company is to engage in the following business activities:</w:t>
      </w:r>
    </w:p>
    <w:p>
      <w:pPr>
        <w:spacing w:after="0" w:line="76" w:lineRule="exact"/>
        <w:rPr>
          <w:sz w:val="20"/>
          <w:szCs w:val="20"/>
          <w:color w:val="auto"/>
        </w:rPr>
      </w:pPr>
    </w:p>
    <w:p>
      <w:pPr>
        <w:ind w:left="2523"/>
        <w:spacing w:after="0"/>
        <w:rPr>
          <w:sz w:val="20"/>
          <w:szCs w:val="20"/>
          <w:color w:val="auto"/>
        </w:rPr>
      </w:pPr>
      <w:r>
        <w:rPr>
          <w:rFonts w:ascii="Arial" w:cs="Arial" w:eastAsia="Arial" w:hAnsi="Arial"/>
          <w:sz w:val="18"/>
          <w:szCs w:val="18"/>
          <w:color w:val="auto"/>
        </w:rPr>
        <w:t>elision</w:t>
      </w:r>
    </w:p>
    <w:p>
      <w:pPr>
        <w:spacing w:after="0" w:line="131" w:lineRule="exact"/>
        <w:rPr>
          <w:sz w:val="20"/>
          <w:szCs w:val="20"/>
          <w:color w:val="auto"/>
        </w:rPr>
      </w:pPr>
    </w:p>
    <w:p>
      <w:pPr>
        <w:ind w:left="263" w:hanging="263"/>
        <w:spacing w:after="0"/>
        <w:tabs>
          <w:tab w:leader="none" w:pos="263" w:val="left"/>
        </w:tabs>
        <w:numPr>
          <w:ilvl w:val="0"/>
          <w:numId w:val="3"/>
        </w:numPr>
        <w:rPr>
          <w:rFonts w:ascii="Arial" w:cs="Arial" w:eastAsia="Arial" w:hAnsi="Arial"/>
          <w:sz w:val="18"/>
          <w:szCs w:val="18"/>
          <w:color w:val="auto"/>
        </w:rPr>
      </w:pPr>
      <w:r>
        <w:rPr>
          <w:rFonts w:ascii="Arial" w:cs="Arial" w:eastAsia="Arial" w:hAnsi="Arial"/>
          <w:sz w:val="18"/>
          <w:szCs w:val="18"/>
          <w:color w:val="auto"/>
        </w:rPr>
        <w:t>i-Gaming related software development and supply business;</w:t>
      </w:r>
    </w:p>
    <w:p>
      <w:pPr>
        <w:spacing w:after="0" w:line="23" w:lineRule="exact"/>
        <w:rPr>
          <w:rFonts w:ascii="Arial" w:cs="Arial" w:eastAsia="Arial" w:hAnsi="Arial"/>
          <w:sz w:val="18"/>
          <w:szCs w:val="18"/>
          <w:color w:val="auto"/>
        </w:rPr>
      </w:pPr>
    </w:p>
    <w:p>
      <w:pPr>
        <w:ind w:left="263" w:hanging="263"/>
        <w:spacing w:after="0"/>
        <w:tabs>
          <w:tab w:leader="none" w:pos="263" w:val="left"/>
        </w:tabs>
        <w:numPr>
          <w:ilvl w:val="0"/>
          <w:numId w:val="3"/>
        </w:numPr>
        <w:rPr>
          <w:rFonts w:ascii="Arial" w:cs="Arial" w:eastAsia="Arial" w:hAnsi="Arial"/>
          <w:sz w:val="18"/>
          <w:szCs w:val="18"/>
          <w:color w:val="auto"/>
        </w:rPr>
      </w:pPr>
      <w:r>
        <w:rPr>
          <w:rFonts w:ascii="Arial" w:cs="Arial" w:eastAsia="Arial" w:hAnsi="Arial"/>
          <w:sz w:val="18"/>
          <w:szCs w:val="18"/>
          <w:color w:val="auto"/>
        </w:rPr>
        <w:t>Blockchain-related business and R&amp;D business;</w:t>
      </w:r>
    </w:p>
    <w:p>
      <w:pPr>
        <w:spacing w:after="0" w:line="9" w:lineRule="exact"/>
        <w:rPr>
          <w:rFonts w:ascii="Arial" w:cs="Arial" w:eastAsia="Arial" w:hAnsi="Arial"/>
          <w:sz w:val="18"/>
          <w:szCs w:val="18"/>
          <w:color w:val="auto"/>
        </w:rPr>
      </w:pPr>
    </w:p>
    <w:p>
      <w:pPr>
        <w:ind w:left="3" w:right="20" w:hanging="3"/>
        <w:spacing w:after="0" w:line="250" w:lineRule="auto"/>
        <w:tabs>
          <w:tab w:leader="none" w:pos="273"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 and supply of virtual reality (VR) and augmented reality (AR) related products and services; and</w:t>
      </w:r>
    </w:p>
    <w:p>
      <w:pPr>
        <w:ind w:left="263" w:hanging="263"/>
        <w:spacing w:after="0"/>
        <w:tabs>
          <w:tab w:leader="none" w:pos="263" w:val="left"/>
        </w:tabs>
        <w:numPr>
          <w:ilvl w:val="0"/>
          <w:numId w:val="3"/>
        </w:numPr>
        <w:rPr>
          <w:rFonts w:ascii="Arial" w:cs="Arial" w:eastAsia="Arial" w:hAnsi="Arial"/>
          <w:sz w:val="17"/>
          <w:szCs w:val="17"/>
          <w:color w:val="auto"/>
        </w:rPr>
      </w:pPr>
      <w:r>
        <w:rPr>
          <w:rFonts w:ascii="Arial" w:cs="Arial" w:eastAsia="Arial" w:hAnsi="Arial"/>
          <w:sz w:val="17"/>
          <w:szCs w:val="17"/>
          <w:color w:val="auto"/>
        </w:rPr>
        <w:t>Other activities incidental to each of the aforementioned business</w:t>
      </w:r>
    </w:p>
    <w:p>
      <w:pPr>
        <w:spacing w:after="0" w:line="123" w:lineRule="exact"/>
        <w:rPr>
          <w:sz w:val="20"/>
          <w:szCs w:val="20"/>
          <w:color w:val="auto"/>
        </w:rPr>
      </w:pPr>
    </w:p>
    <w:p>
      <w:pPr>
        <w:jc w:val="center"/>
        <w:ind w:left="-142"/>
        <w:spacing w:after="0"/>
        <w:rPr>
          <w:sz w:val="20"/>
          <w:szCs w:val="20"/>
          <w:color w:val="auto"/>
        </w:rPr>
      </w:pPr>
      <w:r>
        <w:rPr>
          <w:rFonts w:ascii="Arial" w:cs="Arial" w:eastAsia="Arial" w:hAnsi="Arial"/>
          <w:sz w:val="14"/>
          <w:szCs w:val="14"/>
          <w:color w:val="auto"/>
        </w:rPr>
        <w:t>Supplementary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3497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89" w:lineRule="exact"/>
        <w:rPr>
          <w:sz w:val="20"/>
          <w:szCs w:val="20"/>
          <w:color w:val="auto"/>
        </w:rPr>
      </w:pPr>
    </w:p>
    <w:p>
      <w:pPr>
        <w:ind w:left="3"/>
        <w:spacing w:after="0" w:line="314" w:lineRule="auto"/>
        <w:rPr>
          <w:sz w:val="20"/>
          <w:szCs w:val="20"/>
          <w:color w:val="auto"/>
        </w:rPr>
      </w:pPr>
      <w:r>
        <w:rPr>
          <w:rFonts w:ascii="Arial" w:cs="Arial" w:eastAsia="Arial" w:hAnsi="Arial"/>
          <w:sz w:val="16"/>
          <w:szCs w:val="16"/>
          <w:b w:val="1"/>
          <w:bCs w:val="1"/>
          <w:color w:val="auto"/>
        </w:rPr>
        <w:t xml:space="preserve">Addendum &lt;Mar 29, 2023&gt; Article 1 (Effective Date) </w:t>
      </w:r>
      <w:r>
        <w:rPr>
          <w:rFonts w:ascii="Arial" w:cs="Arial" w:eastAsia="Arial" w:hAnsi="Arial"/>
          <w:sz w:val="16"/>
          <w:szCs w:val="16"/>
          <w:color w:val="auto"/>
        </w:rPr>
        <w:t>These Articles of</w:t>
      </w:r>
      <w:r>
        <w:rPr>
          <w:rFonts w:ascii="Arial" w:cs="Arial" w:eastAsia="Arial" w:hAnsi="Arial"/>
          <w:sz w:val="16"/>
          <w:szCs w:val="16"/>
          <w:b w:val="1"/>
          <w:bCs w:val="1"/>
          <w:color w:val="auto"/>
        </w:rPr>
        <w:t xml:space="preserve"> </w:t>
      </w:r>
      <w:r>
        <w:rPr>
          <w:rFonts w:ascii="Arial" w:cs="Arial" w:eastAsia="Arial" w:hAnsi="Arial"/>
          <w:sz w:val="16"/>
          <w:szCs w:val="16"/>
          <w:color w:val="auto"/>
        </w:rPr>
        <w:t>Incorporation shall be effective on March 29, 2023, the date approved by the shareholders at an annual general meeting of shareholders</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left="620"/>
        <w:spacing w:after="0"/>
        <w:rPr>
          <w:sz w:val="20"/>
          <w:szCs w:val="20"/>
          <w:color w:val="auto"/>
        </w:rPr>
      </w:pPr>
      <w:r>
        <w:rPr>
          <w:rFonts w:ascii="Arial" w:cs="Arial" w:eastAsia="Arial" w:hAnsi="Arial"/>
          <w:sz w:val="14"/>
          <w:szCs w:val="14"/>
          <w:color w:val="auto"/>
        </w:rPr>
        <w:t>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wp:posOffset>
            </wp:positionV>
            <wp:extent cx="9772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spacing w:after="0" w:line="26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Addition of business purposes under Chapter I, Article 2 of the Company’s Articles of Incorporation due to addition of new businesses of the Company</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Establishment of supplementary provisions to indicate the effective date</w:t>
      </w:r>
    </w:p>
    <w:p>
      <w:pPr>
        <w:spacing w:after="0" w:line="188" w:lineRule="exact"/>
        <w:rPr>
          <w:sz w:val="20"/>
          <w:szCs w:val="20"/>
          <w:color w:val="auto"/>
        </w:rPr>
      </w:pPr>
    </w:p>
    <w:p>
      <w:pPr>
        <w:sectPr>
          <w:pgSz w:w="11900" w:h="16838" w:orient="portrait"/>
          <w:cols w:equalWidth="0" w:num="3">
            <w:col w:w="3444" w:space="417"/>
            <w:col w:w="5363" w:space="260"/>
            <w:col w:w="1540"/>
          </w:cols>
          <w:pgMar w:left="436" w:top="274" w:right="439" w:bottom="1440" w:gutter="0" w:footer="0" w:header="0"/>
          <w:type w:val="continuous"/>
        </w:sectPr>
      </w:pPr>
    </w:p>
    <w:p>
      <w:pPr>
        <w:ind w:left="444"/>
        <w:spacing w:after="0"/>
        <w:rPr>
          <w:sz w:val="20"/>
          <w:szCs w:val="20"/>
          <w:color w:val="auto"/>
        </w:rPr>
      </w:pPr>
      <w:r>
        <w:rPr>
          <w:rFonts w:ascii="Arial" w:cs="Arial" w:eastAsia="Arial" w:hAnsi="Arial"/>
          <w:sz w:val="17"/>
          <w:szCs w:val="17"/>
          <w:color w:val="auto"/>
        </w:rPr>
        <w:t>Proposal No. 4: Election of independent directors (whose current terms will expire in May 2023) for a 3-year term expiring in May 2026</w:t>
      </w:r>
    </w:p>
    <w:p>
      <w:pPr>
        <w:spacing w:after="0" w:line="247"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ind w:left="120"/>
              <w:spacing w:after="0"/>
              <w:rPr>
                <w:sz w:val="20"/>
                <w:szCs w:val="20"/>
                <w:color w:val="auto"/>
              </w:rPr>
            </w:pPr>
            <w:r>
              <w:rPr>
                <w:rFonts w:ascii="Arial" w:cs="Arial" w:eastAsia="Arial" w:hAnsi="Arial"/>
                <w:sz w:val="14"/>
                <w:szCs w:val="14"/>
                <w:color w:val="auto"/>
              </w:rPr>
              <w:t>Other positions</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9"/>
              </w:rPr>
              <w:t>New</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ind w:left="80"/>
              <w:spacing w:after="0" w:line="149" w:lineRule="exact"/>
              <w:rPr>
                <w:sz w:val="20"/>
                <w:szCs w:val="20"/>
                <w:color w:val="auto"/>
              </w:rPr>
            </w:pPr>
            <w:r>
              <w:rPr>
                <w:rFonts w:ascii="Arial" w:cs="Arial" w:eastAsia="Arial" w:hAnsi="Arial"/>
                <w:sz w:val="14"/>
                <w:szCs w:val="14"/>
                <w:color w:val="auto"/>
              </w:rPr>
              <w:t>Held (Institution</w:t>
            </w:r>
          </w:p>
        </w:tc>
        <w:tc>
          <w:tcPr>
            <w:tcW w:w="0" w:type="dxa"/>
            <w:vAlign w:val="bottom"/>
          </w:tcPr>
          <w:p>
            <w:pPr>
              <w:spacing w:after="0"/>
              <w:rPr>
                <w:sz w:val="1"/>
                <w:szCs w:val="1"/>
                <w:color w:val="auto"/>
              </w:rPr>
            </w:pPr>
          </w:p>
        </w:tc>
      </w:tr>
      <w:tr>
        <w:trPr>
          <w:trHeight w:val="181"/>
        </w:trPr>
        <w:tc>
          <w:tcPr>
            <w:tcW w:w="88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Name</w:t>
            </w:r>
          </w:p>
        </w:tc>
        <w:tc>
          <w:tcPr>
            <w:tcW w:w="100" w:type="dxa"/>
            <w:vAlign w:val="bottom"/>
          </w:tcPr>
          <w:p>
            <w:pPr>
              <w:spacing w:after="0"/>
              <w:rPr>
                <w:sz w:val="15"/>
                <w:szCs w:val="15"/>
                <w:color w:val="auto"/>
              </w:rPr>
            </w:pPr>
          </w:p>
        </w:tc>
        <w:tc>
          <w:tcPr>
            <w:tcW w:w="110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Date of Birth</w:t>
            </w:r>
          </w:p>
        </w:tc>
        <w:tc>
          <w:tcPr>
            <w:tcW w:w="100" w:type="dxa"/>
            <w:vAlign w:val="bottom"/>
          </w:tcPr>
          <w:p>
            <w:pPr>
              <w:spacing w:after="0"/>
              <w:rPr>
                <w:sz w:val="15"/>
                <w:szCs w:val="15"/>
                <w:color w:val="auto"/>
              </w:rPr>
            </w:pPr>
          </w:p>
        </w:tc>
        <w:tc>
          <w:tcPr>
            <w:tcW w:w="88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Term</w:t>
            </w:r>
          </w:p>
        </w:tc>
        <w:tc>
          <w:tcPr>
            <w:tcW w:w="340" w:type="dxa"/>
            <w:vAlign w:val="bottom"/>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Appointment</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880" w:type="dxa"/>
            <w:vAlign w:val="bottom"/>
            <w:tcBorders>
              <w:bottom w:val="single" w:sz="8" w:color="auto"/>
            </w:tcBorders>
          </w:tcPr>
          <w:p>
            <w:pPr>
              <w:ind w:left="1660"/>
              <w:spacing w:after="0"/>
              <w:rPr>
                <w:sz w:val="20"/>
                <w:szCs w:val="20"/>
                <w:color w:val="auto"/>
              </w:rPr>
            </w:pPr>
            <w:r>
              <w:rPr>
                <w:rFonts w:ascii="Arial" w:cs="Arial" w:eastAsia="Arial" w:hAnsi="Arial"/>
                <w:sz w:val="14"/>
                <w:szCs w:val="14"/>
                <w:color w:val="auto"/>
              </w:rPr>
              <w:t>Professional Experience</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Name and Title)</w:t>
            </w:r>
          </w:p>
        </w:tc>
        <w:tc>
          <w:tcPr>
            <w:tcW w:w="0" w:type="dxa"/>
            <w:vAlign w:val="bottom"/>
          </w:tcPr>
          <w:p>
            <w:pPr>
              <w:spacing w:after="0"/>
              <w:rPr>
                <w:sz w:val="1"/>
                <w:szCs w:val="1"/>
                <w:color w:val="auto"/>
              </w:rPr>
            </w:pPr>
          </w:p>
        </w:tc>
      </w:tr>
      <w:tr>
        <w:trPr>
          <w:trHeight w:val="290"/>
        </w:trPr>
        <w:tc>
          <w:tcPr>
            <w:tcW w:w="880" w:type="dxa"/>
            <w:vAlign w:val="bottom"/>
          </w:tcPr>
          <w:p>
            <w:pPr>
              <w:spacing w:after="0"/>
              <w:rPr>
                <w:sz w:val="20"/>
                <w:szCs w:val="20"/>
                <w:color w:val="auto"/>
              </w:rPr>
            </w:pPr>
            <w:r>
              <w:rPr>
                <w:rFonts w:ascii="Arial" w:cs="Arial" w:eastAsia="Arial" w:hAnsi="Arial"/>
                <w:sz w:val="18"/>
                <w:szCs w:val="18"/>
                <w:color w:val="auto"/>
              </w:rPr>
              <w:t>Yanghoon</w:t>
            </w:r>
          </w:p>
        </w:tc>
        <w:tc>
          <w:tcPr>
            <w:tcW w:w="1300" w:type="dxa"/>
            <w:vAlign w:val="bottom"/>
            <w:gridSpan w:val="3"/>
          </w:tcPr>
          <w:p>
            <w:pPr>
              <w:ind w:left="100"/>
              <w:spacing w:after="0"/>
              <w:rPr>
                <w:sz w:val="20"/>
                <w:szCs w:val="20"/>
                <w:color w:val="auto"/>
              </w:rPr>
            </w:pPr>
            <w:r>
              <w:rPr>
                <w:rFonts w:ascii="Arial" w:cs="Arial" w:eastAsia="Arial" w:hAnsi="Arial"/>
                <w:sz w:val="18"/>
                <w:szCs w:val="18"/>
                <w:color w:val="auto"/>
              </w:rPr>
              <w:t>December 20,</w:t>
            </w:r>
          </w:p>
        </w:tc>
        <w:tc>
          <w:tcPr>
            <w:tcW w:w="1220" w:type="dxa"/>
            <w:vAlign w:val="bottom"/>
            <w:gridSpan w:val="2"/>
          </w:tcPr>
          <w:p>
            <w:pPr>
              <w:spacing w:after="0"/>
              <w:rPr>
                <w:sz w:val="20"/>
                <w:szCs w:val="20"/>
                <w:color w:val="auto"/>
              </w:rPr>
            </w:pPr>
            <w:r>
              <w:rPr>
                <w:rFonts w:ascii="Arial" w:cs="Arial" w:eastAsia="Arial" w:hAnsi="Arial"/>
                <w:sz w:val="18"/>
                <w:szCs w:val="18"/>
                <w:color w:val="auto"/>
              </w:rPr>
              <w:t>5/20/2023 –</w:t>
            </w:r>
          </w:p>
        </w:tc>
        <w:tc>
          <w:tcPr>
            <w:tcW w:w="880" w:type="dxa"/>
            <w:vAlign w:val="bottom"/>
          </w:tcPr>
          <w:p>
            <w:pPr>
              <w:spacing w:after="0"/>
              <w:rPr>
                <w:sz w:val="20"/>
                <w:szCs w:val="20"/>
                <w:color w:val="auto"/>
              </w:rPr>
            </w:pPr>
            <w:r>
              <w:rPr>
                <w:rFonts w:ascii="Arial" w:cs="Arial" w:eastAsia="Arial" w:hAnsi="Arial"/>
                <w:sz w:val="18"/>
                <w:szCs w:val="18"/>
                <w:color w:val="auto"/>
              </w:rPr>
              <w:t>No</w:t>
            </w:r>
          </w:p>
        </w:tc>
        <w:tc>
          <w:tcPr>
            <w:tcW w:w="280" w:type="dxa"/>
            <w:vAlign w:val="bottom"/>
            <w:gridSpan w:val="2"/>
          </w:tcPr>
          <w:p>
            <w:pPr>
              <w:ind w:left="100"/>
              <w:spacing w:after="0"/>
              <w:rPr>
                <w:sz w:val="20"/>
                <w:szCs w:val="20"/>
                <w:color w:val="auto"/>
              </w:rPr>
            </w:pPr>
            <w:r>
              <w:rPr>
                <w:rFonts w:ascii="Arial" w:cs="Arial" w:eastAsia="Arial" w:hAnsi="Arial"/>
                <w:sz w:val="16"/>
                <w:szCs w:val="16"/>
                <w:color w:val="auto"/>
                <w:w w:val="73"/>
              </w:rPr>
              <w:t>• </w:t>
            </w:r>
          </w:p>
        </w:tc>
        <w:tc>
          <w:tcPr>
            <w:tcW w:w="5000" w:type="dxa"/>
            <w:vAlign w:val="bottom"/>
            <w:gridSpan w:val="2"/>
          </w:tcPr>
          <w:p>
            <w:pPr>
              <w:ind w:left="60"/>
              <w:spacing w:after="0"/>
              <w:rPr>
                <w:sz w:val="20"/>
                <w:szCs w:val="20"/>
                <w:color w:val="auto"/>
              </w:rPr>
            </w:pPr>
            <w:r>
              <w:rPr>
                <w:rFonts w:ascii="Arial" w:cs="Arial" w:eastAsia="Arial" w:hAnsi="Arial"/>
                <w:sz w:val="18"/>
                <w:szCs w:val="18"/>
                <w:color w:val="auto"/>
              </w:rPr>
              <w:t>   Vice President, GiantChemical Co., Ltd.</w:t>
            </w:r>
          </w:p>
        </w:tc>
        <w:tc>
          <w:tcPr>
            <w:tcW w:w="160" w:type="dxa"/>
            <w:vAlign w:val="bottom"/>
          </w:tcPr>
          <w:p>
            <w:pPr>
              <w:spacing w:after="0"/>
              <w:rPr>
                <w:sz w:val="20"/>
                <w:szCs w:val="20"/>
                <w:color w:val="auto"/>
              </w:rPr>
            </w:pPr>
            <w:r>
              <w:rPr>
                <w:rFonts w:ascii="Arial" w:cs="Arial" w:eastAsia="Arial" w:hAnsi="Arial"/>
                <w:sz w:val="13"/>
                <w:szCs w:val="13"/>
                <w:color w:val="auto"/>
                <w:w w:val="79"/>
              </w:rPr>
              <w:t>• </w:t>
            </w:r>
          </w:p>
        </w:tc>
        <w:tc>
          <w:tcPr>
            <w:tcW w:w="1300" w:type="dxa"/>
            <w:vAlign w:val="bottom"/>
          </w:tcPr>
          <w:p>
            <w:pPr>
              <w:ind w:left="80"/>
              <w:spacing w:after="0"/>
              <w:rPr>
                <w:sz w:val="20"/>
                <w:szCs w:val="20"/>
                <w:color w:val="auto"/>
              </w:rPr>
            </w:pPr>
            <w:r>
              <w:rPr>
                <w:rFonts w:ascii="Arial" w:cs="Arial" w:eastAsia="Arial" w:hAnsi="Arial"/>
                <w:sz w:val="18"/>
                <w:szCs w:val="18"/>
                <w:color w:val="auto"/>
                <w:w w:val="87"/>
              </w:rPr>
              <w:t>   Vice President,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Cho</w:t>
            </w:r>
          </w:p>
        </w:tc>
        <w:tc>
          <w:tcPr>
            <w:tcW w:w="1200" w:type="dxa"/>
            <w:vAlign w:val="bottom"/>
            <w:gridSpan w:val="2"/>
          </w:tcPr>
          <w:p>
            <w:pPr>
              <w:ind w:left="100"/>
              <w:spacing w:after="0"/>
              <w:rPr>
                <w:sz w:val="20"/>
                <w:szCs w:val="20"/>
                <w:color w:val="auto"/>
              </w:rPr>
            </w:pPr>
            <w:r>
              <w:rPr>
                <w:rFonts w:ascii="Arial" w:cs="Arial" w:eastAsia="Arial" w:hAnsi="Arial"/>
                <w:sz w:val="18"/>
                <w:szCs w:val="18"/>
                <w:color w:val="auto"/>
              </w:rPr>
              <w:t>1967</w:t>
            </w:r>
          </w:p>
        </w:tc>
        <w:tc>
          <w:tcPr>
            <w:tcW w:w="1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5/20/2026</w:t>
            </w: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gridSpan w:val="2"/>
            <w:vMerge w:val="restart"/>
          </w:tcPr>
          <w:p>
            <w:pPr>
              <w:ind w:left="100"/>
              <w:spacing w:after="0"/>
              <w:rPr>
                <w:sz w:val="20"/>
                <w:szCs w:val="20"/>
                <w:color w:val="auto"/>
              </w:rPr>
            </w:pPr>
            <w:r>
              <w:rPr>
                <w:rFonts w:ascii="Arial" w:cs="Arial" w:eastAsia="Arial" w:hAnsi="Arial"/>
                <w:sz w:val="16"/>
                <w:szCs w:val="16"/>
                <w:color w:val="auto"/>
                <w:w w:val="73"/>
              </w:rPr>
              <w:t>• </w:t>
            </w:r>
          </w:p>
        </w:tc>
        <w:tc>
          <w:tcPr>
            <w:tcW w:w="5000" w:type="dxa"/>
            <w:vAlign w:val="bottom"/>
            <w:gridSpan w:val="2"/>
            <w:vMerge w:val="restart"/>
          </w:tcPr>
          <w:p>
            <w:pPr>
              <w:ind w:left="60"/>
              <w:spacing w:after="0"/>
              <w:rPr>
                <w:sz w:val="20"/>
                <w:szCs w:val="20"/>
                <w:color w:val="auto"/>
              </w:rPr>
            </w:pPr>
            <w:r>
              <w:rPr>
                <w:rFonts w:ascii="Arial" w:cs="Arial" w:eastAsia="Arial" w:hAnsi="Arial"/>
                <w:sz w:val="18"/>
                <w:szCs w:val="18"/>
                <w:color w:val="auto"/>
              </w:rPr>
              <w:t>   Partner, Jungjinserim Accounting Firm</w:t>
            </w:r>
          </w:p>
        </w:tc>
        <w:tc>
          <w:tcPr>
            <w:tcW w:w="160" w:type="dxa"/>
            <w:vAlign w:val="bottom"/>
          </w:tcPr>
          <w:p>
            <w:pPr>
              <w:spacing w:after="0"/>
              <w:rPr>
                <w:sz w:val="18"/>
                <w:szCs w:val="18"/>
                <w:color w:val="auto"/>
              </w:rPr>
            </w:pPr>
          </w:p>
        </w:tc>
        <w:tc>
          <w:tcPr>
            <w:tcW w:w="1300" w:type="dxa"/>
            <w:vAlign w:val="bottom"/>
          </w:tcPr>
          <w:p>
            <w:pPr>
              <w:ind w:left="200"/>
              <w:spacing w:after="0"/>
              <w:rPr>
                <w:sz w:val="20"/>
                <w:szCs w:val="20"/>
                <w:color w:val="auto"/>
              </w:rPr>
            </w:pPr>
            <w:r>
              <w:rPr>
                <w:rFonts w:ascii="Arial" w:cs="Arial" w:eastAsia="Arial" w:hAnsi="Arial"/>
                <w:sz w:val="18"/>
                <w:szCs w:val="18"/>
                <w:color w:val="auto"/>
                <w:w w:val="91"/>
              </w:rPr>
              <w:t>GiantChemical</w:t>
            </w:r>
          </w:p>
        </w:tc>
        <w:tc>
          <w:tcPr>
            <w:tcW w:w="0" w:type="dxa"/>
            <w:vAlign w:val="bottom"/>
          </w:tcPr>
          <w:p>
            <w:pPr>
              <w:spacing w:after="0"/>
              <w:rPr>
                <w:sz w:val="1"/>
                <w:szCs w:val="1"/>
                <w:color w:val="auto"/>
              </w:rPr>
            </w:pPr>
          </w:p>
        </w:tc>
      </w:tr>
      <w:tr>
        <w:trPr>
          <w:trHeight w:val="136"/>
        </w:trPr>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gridSpan w:val="2"/>
            <w:vMerge w:val="continue"/>
          </w:tcPr>
          <w:p>
            <w:pPr>
              <w:spacing w:after="0"/>
              <w:rPr>
                <w:sz w:val="11"/>
                <w:szCs w:val="11"/>
                <w:color w:val="auto"/>
              </w:rPr>
            </w:pPr>
          </w:p>
        </w:tc>
        <w:tc>
          <w:tcPr>
            <w:tcW w:w="50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vMerge w:val="restart"/>
          </w:tcPr>
          <w:p>
            <w:pPr>
              <w:ind w:left="200"/>
              <w:spacing w:after="0"/>
              <w:rPr>
                <w:sz w:val="20"/>
                <w:szCs w:val="20"/>
                <w:color w:val="auto"/>
              </w:rPr>
            </w:pPr>
            <w:r>
              <w:rPr>
                <w:rFonts w:ascii="Arial" w:cs="Arial" w:eastAsia="Arial" w:hAnsi="Arial"/>
                <w:sz w:val="18"/>
                <w:szCs w:val="18"/>
                <w:color w:val="auto"/>
              </w:rPr>
              <w:t>Co., Ltd.</w:t>
            </w:r>
          </w:p>
        </w:tc>
        <w:tc>
          <w:tcPr>
            <w:tcW w:w="0" w:type="dxa"/>
            <w:vAlign w:val="bottom"/>
          </w:tcPr>
          <w:p>
            <w:pPr>
              <w:spacing w:after="0"/>
              <w:rPr>
                <w:sz w:val="1"/>
                <w:szCs w:val="1"/>
                <w:color w:val="auto"/>
              </w:rPr>
            </w:pPr>
          </w:p>
        </w:tc>
      </w:tr>
      <w:tr>
        <w:trPr>
          <w:trHeight w:val="95"/>
        </w:trPr>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gridSpan w:val="2"/>
          </w:tcPr>
          <w:p>
            <w:pPr>
              <w:ind w:left="100"/>
              <w:spacing w:after="0"/>
              <w:rPr>
                <w:sz w:val="20"/>
                <w:szCs w:val="20"/>
                <w:color w:val="auto"/>
              </w:rPr>
            </w:pPr>
            <w:r>
              <w:rPr>
                <w:rFonts w:ascii="Arial" w:cs="Arial" w:eastAsia="Arial" w:hAnsi="Arial"/>
                <w:sz w:val="16"/>
                <w:szCs w:val="16"/>
                <w:color w:val="auto"/>
                <w:w w:val="73"/>
              </w:rPr>
              <w:t>• </w:t>
            </w:r>
          </w:p>
        </w:tc>
        <w:tc>
          <w:tcPr>
            <w:tcW w:w="5000" w:type="dxa"/>
            <w:vAlign w:val="bottom"/>
            <w:gridSpan w:val="2"/>
          </w:tcPr>
          <w:p>
            <w:pPr>
              <w:ind w:left="60"/>
              <w:spacing w:after="0"/>
              <w:rPr>
                <w:sz w:val="20"/>
                <w:szCs w:val="20"/>
                <w:color w:val="auto"/>
              </w:rPr>
            </w:pPr>
            <w:r>
              <w:rPr>
                <w:rFonts w:ascii="Arial" w:cs="Arial" w:eastAsia="Arial" w:hAnsi="Arial"/>
                <w:sz w:val="18"/>
                <w:szCs w:val="18"/>
                <w:color w:val="auto"/>
              </w:rPr>
              <w:t>   M&amp;A Advisor, Korea Investment &amp; Securities Co., Ltd.</w:t>
            </w: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8"/>
        </w:trPr>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gridSpan w:val="2"/>
          </w:tcPr>
          <w:p>
            <w:pPr>
              <w:ind w:left="100"/>
              <w:spacing w:after="0"/>
              <w:rPr>
                <w:sz w:val="20"/>
                <w:szCs w:val="20"/>
                <w:color w:val="auto"/>
              </w:rPr>
            </w:pPr>
            <w:r>
              <w:rPr>
                <w:rFonts w:ascii="Arial" w:cs="Arial" w:eastAsia="Arial" w:hAnsi="Arial"/>
                <w:sz w:val="16"/>
                <w:szCs w:val="16"/>
                <w:color w:val="auto"/>
                <w:w w:val="73"/>
              </w:rPr>
              <w:t>• </w:t>
            </w:r>
          </w:p>
        </w:tc>
        <w:tc>
          <w:tcPr>
            <w:tcW w:w="5000" w:type="dxa"/>
            <w:vAlign w:val="bottom"/>
            <w:gridSpan w:val="2"/>
          </w:tcPr>
          <w:p>
            <w:pPr>
              <w:ind w:left="60"/>
              <w:spacing w:after="0"/>
              <w:rPr>
                <w:sz w:val="20"/>
                <w:szCs w:val="20"/>
                <w:color w:val="auto"/>
              </w:rPr>
            </w:pPr>
            <w:r>
              <w:rPr>
                <w:rFonts w:ascii="Arial" w:cs="Arial" w:eastAsia="Arial" w:hAnsi="Arial"/>
                <w:sz w:val="18"/>
                <w:szCs w:val="18"/>
                <w:color w:val="auto"/>
                <w:w w:val="99"/>
              </w:rPr>
              <w:t>   Certified Public Accountant, Samil PricewaterhouseCoopers</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880" w:type="dxa"/>
            <w:vAlign w:val="bottom"/>
          </w:tcPr>
          <w:p>
            <w:pPr>
              <w:spacing w:after="0"/>
              <w:rPr>
                <w:sz w:val="20"/>
                <w:szCs w:val="20"/>
                <w:color w:val="auto"/>
              </w:rPr>
            </w:pPr>
            <w:r>
              <w:rPr>
                <w:rFonts w:ascii="Arial" w:cs="Arial" w:eastAsia="Arial" w:hAnsi="Arial"/>
                <w:sz w:val="18"/>
                <w:szCs w:val="18"/>
                <w:color w:val="auto"/>
              </w:rPr>
              <w:t>Jaesung</w:t>
            </w:r>
          </w:p>
        </w:tc>
        <w:tc>
          <w:tcPr>
            <w:tcW w:w="1300" w:type="dxa"/>
            <w:vAlign w:val="bottom"/>
            <w:gridSpan w:val="3"/>
          </w:tcPr>
          <w:p>
            <w:pPr>
              <w:ind w:left="100"/>
              <w:spacing w:after="0"/>
              <w:rPr>
                <w:sz w:val="20"/>
                <w:szCs w:val="20"/>
                <w:color w:val="auto"/>
              </w:rPr>
            </w:pPr>
            <w:r>
              <w:rPr>
                <w:rFonts w:ascii="Arial" w:cs="Arial" w:eastAsia="Arial" w:hAnsi="Arial"/>
                <w:sz w:val="18"/>
                <w:szCs w:val="18"/>
                <w:color w:val="auto"/>
              </w:rPr>
              <w:t>January 17,</w:t>
            </w:r>
          </w:p>
        </w:tc>
        <w:tc>
          <w:tcPr>
            <w:tcW w:w="1220" w:type="dxa"/>
            <w:vAlign w:val="bottom"/>
            <w:gridSpan w:val="2"/>
          </w:tcPr>
          <w:p>
            <w:pPr>
              <w:spacing w:after="0"/>
              <w:rPr>
                <w:sz w:val="20"/>
                <w:szCs w:val="20"/>
                <w:color w:val="auto"/>
              </w:rPr>
            </w:pPr>
            <w:r>
              <w:rPr>
                <w:rFonts w:ascii="Arial" w:cs="Arial" w:eastAsia="Arial" w:hAnsi="Arial"/>
                <w:sz w:val="18"/>
                <w:szCs w:val="18"/>
                <w:color w:val="auto"/>
              </w:rPr>
              <w:t>5/20/2023 –</w:t>
            </w:r>
          </w:p>
        </w:tc>
        <w:tc>
          <w:tcPr>
            <w:tcW w:w="880" w:type="dxa"/>
            <w:vAlign w:val="bottom"/>
          </w:tcPr>
          <w:p>
            <w:pPr>
              <w:spacing w:after="0"/>
              <w:rPr>
                <w:sz w:val="20"/>
                <w:szCs w:val="20"/>
                <w:color w:val="auto"/>
              </w:rPr>
            </w:pPr>
            <w:r>
              <w:rPr>
                <w:rFonts w:ascii="Arial" w:cs="Arial" w:eastAsia="Arial" w:hAnsi="Arial"/>
                <w:sz w:val="18"/>
                <w:szCs w:val="18"/>
                <w:color w:val="auto"/>
              </w:rPr>
              <w:t>No</w:t>
            </w:r>
          </w:p>
        </w:tc>
        <w:tc>
          <w:tcPr>
            <w:tcW w:w="280" w:type="dxa"/>
            <w:vAlign w:val="bottom"/>
            <w:gridSpan w:val="2"/>
          </w:tcPr>
          <w:p>
            <w:pPr>
              <w:ind w:left="100"/>
              <w:spacing w:after="0"/>
              <w:rPr>
                <w:sz w:val="20"/>
                <w:szCs w:val="20"/>
                <w:color w:val="auto"/>
              </w:rPr>
            </w:pPr>
            <w:r>
              <w:rPr>
                <w:rFonts w:ascii="Arial" w:cs="Arial" w:eastAsia="Arial" w:hAnsi="Arial"/>
                <w:sz w:val="16"/>
                <w:szCs w:val="16"/>
                <w:color w:val="auto"/>
                <w:w w:val="73"/>
              </w:rPr>
              <w:t>• </w:t>
            </w:r>
          </w:p>
        </w:tc>
        <w:tc>
          <w:tcPr>
            <w:tcW w:w="5000" w:type="dxa"/>
            <w:vAlign w:val="bottom"/>
            <w:gridSpan w:val="2"/>
          </w:tcPr>
          <w:p>
            <w:pPr>
              <w:ind w:left="60"/>
              <w:spacing w:after="0"/>
              <w:rPr>
                <w:sz w:val="20"/>
                <w:szCs w:val="20"/>
                <w:color w:val="auto"/>
              </w:rPr>
            </w:pPr>
            <w:r>
              <w:rPr>
                <w:rFonts w:ascii="Arial" w:cs="Arial" w:eastAsia="Arial" w:hAnsi="Arial"/>
                <w:sz w:val="18"/>
                <w:szCs w:val="18"/>
                <w:color w:val="auto"/>
              </w:rPr>
              <w:t>   Chief Executive Officer, NTT Korea Co., Ltd.</w:t>
            </w:r>
          </w:p>
        </w:tc>
        <w:tc>
          <w:tcPr>
            <w:tcW w:w="160" w:type="dxa"/>
            <w:vAlign w:val="bottom"/>
          </w:tcPr>
          <w:p>
            <w:pPr>
              <w:spacing w:after="0"/>
              <w:rPr>
                <w:sz w:val="20"/>
                <w:szCs w:val="20"/>
                <w:color w:val="auto"/>
              </w:rPr>
            </w:pPr>
            <w:r>
              <w:rPr>
                <w:rFonts w:ascii="Arial" w:cs="Arial" w:eastAsia="Arial" w:hAnsi="Arial"/>
                <w:sz w:val="13"/>
                <w:szCs w:val="13"/>
                <w:color w:val="auto"/>
                <w:w w:val="79"/>
              </w:rPr>
              <w:t>• </w:t>
            </w:r>
          </w:p>
        </w:tc>
        <w:tc>
          <w:tcPr>
            <w:tcW w:w="1300" w:type="dxa"/>
            <w:vAlign w:val="bottom"/>
          </w:tcPr>
          <w:p>
            <w:pPr>
              <w:ind w:left="80"/>
              <w:spacing w:after="0"/>
              <w:rPr>
                <w:sz w:val="20"/>
                <w:szCs w:val="20"/>
                <w:color w:val="auto"/>
              </w:rPr>
            </w:pPr>
            <w:r>
              <w:rPr>
                <w:rFonts w:ascii="Arial" w:cs="Arial" w:eastAsia="Arial" w:hAnsi="Arial"/>
                <w:sz w:val="18"/>
                <w:szCs w:val="18"/>
                <w:color w:val="auto"/>
              </w:rPr>
              <w:t>   Chief</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Chung</w:t>
            </w:r>
          </w:p>
        </w:tc>
        <w:tc>
          <w:tcPr>
            <w:tcW w:w="1200" w:type="dxa"/>
            <w:vAlign w:val="bottom"/>
            <w:gridSpan w:val="2"/>
          </w:tcPr>
          <w:p>
            <w:pPr>
              <w:ind w:left="100"/>
              <w:spacing w:after="0"/>
              <w:rPr>
                <w:sz w:val="20"/>
                <w:szCs w:val="20"/>
                <w:color w:val="auto"/>
              </w:rPr>
            </w:pPr>
            <w:r>
              <w:rPr>
                <w:rFonts w:ascii="Arial" w:cs="Arial" w:eastAsia="Arial" w:hAnsi="Arial"/>
                <w:sz w:val="18"/>
                <w:szCs w:val="18"/>
                <w:color w:val="auto"/>
              </w:rPr>
              <w:t>1959</w:t>
            </w:r>
          </w:p>
        </w:tc>
        <w:tc>
          <w:tcPr>
            <w:tcW w:w="1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5/20/2026</w:t>
            </w: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80" w:type="dxa"/>
            <w:vAlign w:val="bottom"/>
            <w:gridSpan w:val="4"/>
            <w:vMerge w:val="restart"/>
          </w:tcPr>
          <w:p>
            <w:pPr>
              <w:ind w:left="100"/>
              <w:spacing w:after="0"/>
              <w:rPr>
                <w:sz w:val="20"/>
                <w:szCs w:val="20"/>
                <w:color w:val="auto"/>
              </w:rPr>
            </w:pPr>
            <w:r>
              <w:rPr>
                <w:rFonts w:ascii="Arial" w:cs="Arial" w:eastAsia="Arial" w:hAnsi="Arial"/>
                <w:sz w:val="18"/>
                <w:szCs w:val="18"/>
                <w:color w:val="auto"/>
              </w:rPr>
              <w:t>•      Chief Executive Officer, Dimension Data Korea</w:t>
            </w:r>
          </w:p>
        </w:tc>
        <w:tc>
          <w:tcPr>
            <w:tcW w:w="160" w:type="dxa"/>
            <w:vAlign w:val="bottom"/>
          </w:tcPr>
          <w:p>
            <w:pPr>
              <w:spacing w:after="0"/>
              <w:rPr>
                <w:sz w:val="18"/>
                <w:szCs w:val="18"/>
                <w:color w:val="auto"/>
              </w:rPr>
            </w:pPr>
          </w:p>
        </w:tc>
        <w:tc>
          <w:tcPr>
            <w:tcW w:w="1300" w:type="dxa"/>
            <w:vAlign w:val="bottom"/>
          </w:tcPr>
          <w:p>
            <w:pPr>
              <w:ind w:left="200"/>
              <w:spacing w:after="0"/>
              <w:rPr>
                <w:sz w:val="20"/>
                <w:szCs w:val="20"/>
                <w:color w:val="auto"/>
              </w:rPr>
            </w:pPr>
            <w:r>
              <w:rPr>
                <w:rFonts w:ascii="Arial" w:cs="Arial" w:eastAsia="Arial" w:hAnsi="Arial"/>
                <w:sz w:val="18"/>
                <w:szCs w:val="18"/>
                <w:color w:val="auto"/>
              </w:rPr>
              <w:t>Executive</w:t>
            </w:r>
          </w:p>
        </w:tc>
        <w:tc>
          <w:tcPr>
            <w:tcW w:w="0" w:type="dxa"/>
            <w:vAlign w:val="bottom"/>
          </w:tcPr>
          <w:p>
            <w:pPr>
              <w:spacing w:after="0"/>
              <w:rPr>
                <w:sz w:val="1"/>
                <w:szCs w:val="1"/>
                <w:color w:val="auto"/>
              </w:rPr>
            </w:pPr>
          </w:p>
        </w:tc>
      </w:tr>
      <w:tr>
        <w:trPr>
          <w:trHeight w:val="136"/>
        </w:trPr>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280" w:type="dxa"/>
            <w:vAlign w:val="bottom"/>
            <w:gridSpan w:val="4"/>
            <w:vMerge w:val="continue"/>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vMerge w:val="restart"/>
          </w:tcPr>
          <w:p>
            <w:pPr>
              <w:ind w:left="200"/>
              <w:spacing w:after="0"/>
              <w:rPr>
                <w:sz w:val="20"/>
                <w:szCs w:val="20"/>
                <w:color w:val="auto"/>
              </w:rPr>
            </w:pPr>
            <w:r>
              <w:rPr>
                <w:rFonts w:ascii="Arial" w:cs="Arial" w:eastAsia="Arial" w:hAnsi="Arial"/>
                <w:sz w:val="18"/>
                <w:szCs w:val="18"/>
                <w:color w:val="auto"/>
              </w:rPr>
              <w:t>Officer, NTT</w:t>
            </w:r>
          </w:p>
        </w:tc>
        <w:tc>
          <w:tcPr>
            <w:tcW w:w="0" w:type="dxa"/>
            <w:vAlign w:val="bottom"/>
          </w:tcPr>
          <w:p>
            <w:pPr>
              <w:spacing w:after="0"/>
              <w:rPr>
                <w:sz w:val="1"/>
                <w:szCs w:val="1"/>
                <w:color w:val="auto"/>
              </w:rPr>
            </w:pPr>
          </w:p>
        </w:tc>
      </w:tr>
      <w:tr>
        <w:trPr>
          <w:trHeight w:val="80"/>
        </w:trPr>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gridSpan w:val="2"/>
          </w:tcPr>
          <w:p>
            <w:pPr>
              <w:ind w:left="100"/>
              <w:spacing w:after="0"/>
              <w:rPr>
                <w:sz w:val="20"/>
                <w:szCs w:val="20"/>
                <w:color w:val="auto"/>
              </w:rPr>
            </w:pPr>
            <w:r>
              <w:rPr>
                <w:rFonts w:ascii="Arial" w:cs="Arial" w:eastAsia="Arial" w:hAnsi="Arial"/>
                <w:sz w:val="16"/>
                <w:szCs w:val="16"/>
                <w:color w:val="auto"/>
                <w:w w:val="73"/>
              </w:rPr>
              <w:t>• </w:t>
            </w:r>
          </w:p>
        </w:tc>
        <w:tc>
          <w:tcPr>
            <w:tcW w:w="5000" w:type="dxa"/>
            <w:vAlign w:val="bottom"/>
            <w:gridSpan w:val="2"/>
          </w:tcPr>
          <w:p>
            <w:pPr>
              <w:ind w:left="60"/>
              <w:spacing w:after="0"/>
              <w:rPr>
                <w:sz w:val="20"/>
                <w:szCs w:val="20"/>
                <w:color w:val="auto"/>
              </w:rPr>
            </w:pPr>
            <w:r>
              <w:rPr>
                <w:rFonts w:ascii="Arial" w:cs="Arial" w:eastAsia="Arial" w:hAnsi="Arial"/>
                <w:sz w:val="18"/>
                <w:szCs w:val="18"/>
                <w:color w:val="auto"/>
              </w:rPr>
              <w:t>   General Manager, IBM Korea Software Group</w:t>
            </w:r>
          </w:p>
        </w:tc>
        <w:tc>
          <w:tcPr>
            <w:tcW w:w="160" w:type="dxa"/>
            <w:vAlign w:val="bottom"/>
          </w:tcPr>
          <w:p>
            <w:pPr>
              <w:spacing w:after="0"/>
              <w:rPr>
                <w:sz w:val="18"/>
                <w:szCs w:val="18"/>
                <w:color w:val="auto"/>
              </w:rPr>
            </w:pPr>
          </w:p>
        </w:tc>
        <w:tc>
          <w:tcPr>
            <w:tcW w:w="1300" w:type="dxa"/>
            <w:vAlign w:val="bottom"/>
          </w:tcPr>
          <w:p>
            <w:pPr>
              <w:ind w:left="200"/>
              <w:spacing w:after="0"/>
              <w:rPr>
                <w:sz w:val="20"/>
                <w:szCs w:val="20"/>
                <w:color w:val="auto"/>
              </w:rPr>
            </w:pPr>
            <w:r>
              <w:rPr>
                <w:rFonts w:ascii="Arial" w:cs="Arial" w:eastAsia="Arial" w:hAnsi="Arial"/>
                <w:sz w:val="18"/>
                <w:szCs w:val="18"/>
                <w:color w:val="auto"/>
              </w:rPr>
              <w:t>Korea Co.,</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gridSpan w:val="2"/>
            <w:vMerge w:val="restart"/>
          </w:tcPr>
          <w:p>
            <w:pPr>
              <w:ind w:left="100"/>
              <w:spacing w:after="0"/>
              <w:rPr>
                <w:sz w:val="20"/>
                <w:szCs w:val="20"/>
                <w:color w:val="auto"/>
              </w:rPr>
            </w:pPr>
            <w:r>
              <w:rPr>
                <w:rFonts w:ascii="Arial" w:cs="Arial" w:eastAsia="Arial" w:hAnsi="Arial"/>
                <w:sz w:val="16"/>
                <w:szCs w:val="16"/>
                <w:color w:val="auto"/>
                <w:w w:val="73"/>
              </w:rPr>
              <w:t>• </w:t>
            </w:r>
          </w:p>
        </w:tc>
        <w:tc>
          <w:tcPr>
            <w:tcW w:w="5000" w:type="dxa"/>
            <w:vAlign w:val="bottom"/>
            <w:gridSpan w:val="2"/>
            <w:vMerge w:val="restart"/>
          </w:tcPr>
          <w:p>
            <w:pPr>
              <w:ind w:left="60"/>
              <w:spacing w:after="0"/>
              <w:rPr>
                <w:sz w:val="20"/>
                <w:szCs w:val="20"/>
                <w:color w:val="auto"/>
              </w:rPr>
            </w:pPr>
            <w:r>
              <w:rPr>
                <w:rFonts w:ascii="Arial" w:cs="Arial" w:eastAsia="Arial" w:hAnsi="Arial"/>
                <w:sz w:val="18"/>
                <w:szCs w:val="18"/>
                <w:color w:val="auto"/>
              </w:rPr>
              <w:t>   Vice President, Sun Microsystems, Inc.</w:t>
            </w:r>
          </w:p>
        </w:tc>
        <w:tc>
          <w:tcPr>
            <w:tcW w:w="160" w:type="dxa"/>
            <w:vAlign w:val="bottom"/>
          </w:tcPr>
          <w:p>
            <w:pPr>
              <w:spacing w:after="0"/>
              <w:rPr>
                <w:sz w:val="20"/>
                <w:szCs w:val="20"/>
                <w:color w:val="auto"/>
              </w:rPr>
            </w:pPr>
          </w:p>
        </w:tc>
        <w:tc>
          <w:tcPr>
            <w:tcW w:w="1300" w:type="dxa"/>
            <w:vAlign w:val="bottom"/>
          </w:tcPr>
          <w:p>
            <w:pPr>
              <w:ind w:left="200"/>
              <w:spacing w:after="0"/>
              <w:rPr>
                <w:sz w:val="20"/>
                <w:szCs w:val="20"/>
                <w:color w:val="auto"/>
              </w:rPr>
            </w:pPr>
            <w:r>
              <w:rPr>
                <w:rFonts w:ascii="Arial" w:cs="Arial" w:eastAsia="Arial" w:hAnsi="Arial"/>
                <w:sz w:val="18"/>
                <w:szCs w:val="18"/>
                <w:color w:val="auto"/>
              </w:rPr>
              <w:t>Ltd.</w:t>
            </w:r>
          </w:p>
        </w:tc>
        <w:tc>
          <w:tcPr>
            <w:tcW w:w="0" w:type="dxa"/>
            <w:vAlign w:val="bottom"/>
          </w:tcPr>
          <w:p>
            <w:pPr>
              <w:spacing w:after="0"/>
              <w:rPr>
                <w:sz w:val="1"/>
                <w:szCs w:val="1"/>
                <w:color w:val="auto"/>
              </w:rPr>
            </w:pPr>
          </w:p>
        </w:tc>
      </w:tr>
      <w:tr>
        <w:trPr>
          <w:trHeight w:val="134"/>
        </w:trPr>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gridSpan w:val="2"/>
            <w:vMerge w:val="continue"/>
          </w:tcPr>
          <w:p>
            <w:pPr>
              <w:spacing w:after="0"/>
              <w:rPr>
                <w:sz w:val="11"/>
                <w:szCs w:val="11"/>
                <w:color w:val="auto"/>
              </w:rPr>
            </w:pPr>
          </w:p>
        </w:tc>
        <w:tc>
          <w:tcPr>
            <w:tcW w:w="50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gridSpan w:val="2"/>
          </w:tcPr>
          <w:p>
            <w:pPr>
              <w:ind w:left="100"/>
              <w:spacing w:after="0"/>
              <w:rPr>
                <w:sz w:val="20"/>
                <w:szCs w:val="20"/>
                <w:color w:val="auto"/>
              </w:rPr>
            </w:pPr>
            <w:r>
              <w:rPr>
                <w:rFonts w:ascii="Arial" w:cs="Arial" w:eastAsia="Arial" w:hAnsi="Arial"/>
                <w:sz w:val="16"/>
                <w:szCs w:val="16"/>
                <w:color w:val="auto"/>
                <w:w w:val="73"/>
              </w:rPr>
              <w:t>• </w:t>
            </w:r>
          </w:p>
        </w:tc>
        <w:tc>
          <w:tcPr>
            <w:tcW w:w="5000" w:type="dxa"/>
            <w:vAlign w:val="bottom"/>
            <w:gridSpan w:val="2"/>
          </w:tcPr>
          <w:p>
            <w:pPr>
              <w:ind w:left="60"/>
              <w:spacing w:after="0"/>
              <w:rPr>
                <w:sz w:val="20"/>
                <w:szCs w:val="20"/>
                <w:color w:val="auto"/>
              </w:rPr>
            </w:pPr>
            <w:r>
              <w:rPr>
                <w:rFonts w:ascii="Arial" w:cs="Arial" w:eastAsia="Arial" w:hAnsi="Arial"/>
                <w:sz w:val="18"/>
                <w:szCs w:val="18"/>
                <w:color w:val="auto"/>
              </w:rPr>
              <w:t>   Branch Manager, Parametric Technology</w:t>
            </w: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24"/>
          </w:cols>
          <w:pgMar w:left="436" w:top="274" w:right="439" w:bottom="1440" w:gutter="0" w:footer="0" w:header="0"/>
          <w:type w:val="continuous"/>
        </w:sectPr>
      </w:pPr>
    </w:p>
    <w:bookmarkStart w:id="3" w:name="page4"/>
    <w:bookmarkEnd w:id="3"/>
    <w:p>
      <w:pPr>
        <w:ind w:right="40" w:firstLine="42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Proposal No. 5: To approve the continuance of the aggregate remuneration limit for independent directors and executive officers at 5 billion won for the fiscal year ending December 31, 2023.</w:t>
      </w:r>
    </w:p>
    <w:p>
      <w:pPr>
        <w:spacing w:after="0" w:line="193" w:lineRule="exact"/>
        <w:rPr>
          <w:sz w:val="20"/>
          <w:szCs w:val="20"/>
          <w:color w:val="auto"/>
        </w:rPr>
      </w:pPr>
    </w:p>
    <w:tbl>
      <w:tblPr>
        <w:tblLayout w:type="fixed"/>
        <w:tblInd w:w="880" w:type="dxa"/>
        <w:tblCellMar>
          <w:top w:w="0" w:type="dxa"/>
          <w:left w:w="0" w:type="dxa"/>
          <w:bottom w:w="0" w:type="dxa"/>
          <w:right w:w="0" w:type="dxa"/>
        </w:tblCellMar>
      </w:tblPr>
      <w:tr>
        <w:trPr>
          <w:trHeight w:val="181"/>
        </w:trPr>
        <w:tc>
          <w:tcPr>
            <w:tcW w:w="3100" w:type="dxa"/>
            <w:vAlign w:val="bottom"/>
            <w:gridSpan w:val="2"/>
          </w:tcPr>
          <w:p>
            <w:pPr>
              <w:ind w:left="1340"/>
              <w:spacing w:after="0"/>
              <w:rPr>
                <w:sz w:val="20"/>
                <w:szCs w:val="20"/>
                <w:color w:val="auto"/>
              </w:rPr>
            </w:pPr>
            <w:r>
              <w:rPr>
                <w:rFonts w:ascii="Arial" w:cs="Arial" w:eastAsia="Arial" w:hAnsi="Arial"/>
                <w:sz w:val="14"/>
                <w:szCs w:val="14"/>
                <w:color w:val="auto"/>
              </w:rPr>
              <w:t>Title</w:t>
            </w:r>
          </w:p>
        </w:tc>
        <w:tc>
          <w:tcPr>
            <w:tcW w:w="2600" w:type="dxa"/>
            <w:vAlign w:val="bottom"/>
          </w:tcPr>
          <w:p>
            <w:pPr>
              <w:jc w:val="right"/>
              <w:ind w:right="1079"/>
              <w:spacing w:after="0"/>
              <w:rPr>
                <w:sz w:val="20"/>
                <w:szCs w:val="20"/>
                <w:color w:val="auto"/>
              </w:rPr>
            </w:pPr>
            <w:r>
              <w:rPr>
                <w:rFonts w:ascii="Arial" w:cs="Arial" w:eastAsia="Arial" w:hAnsi="Arial"/>
                <w:sz w:val="14"/>
                <w:szCs w:val="14"/>
                <w:color w:val="auto"/>
              </w:rPr>
              <w:t>2022</w:t>
            </w:r>
          </w:p>
        </w:tc>
        <w:tc>
          <w:tcPr>
            <w:tcW w:w="160" w:type="dxa"/>
            <w:vAlign w:val="bottom"/>
          </w:tcPr>
          <w:p>
            <w:pPr>
              <w:spacing w:after="0"/>
              <w:rPr>
                <w:sz w:val="15"/>
                <w:szCs w:val="15"/>
                <w:color w:val="auto"/>
              </w:rPr>
            </w:pPr>
          </w:p>
        </w:tc>
        <w:tc>
          <w:tcPr>
            <w:tcW w:w="2500" w:type="dxa"/>
            <w:vAlign w:val="bottom"/>
          </w:tcPr>
          <w:p>
            <w:pPr>
              <w:jc w:val="right"/>
              <w:ind w:right="1019"/>
              <w:spacing w:after="0"/>
              <w:rPr>
                <w:sz w:val="20"/>
                <w:szCs w:val="20"/>
                <w:color w:val="auto"/>
              </w:rPr>
            </w:pPr>
            <w:r>
              <w:rPr>
                <w:rFonts w:ascii="Arial" w:cs="Arial" w:eastAsia="Arial" w:hAnsi="Arial"/>
                <w:sz w:val="14"/>
                <w:szCs w:val="14"/>
                <w:color w:val="auto"/>
              </w:rPr>
              <w:t>2023</w:t>
            </w:r>
          </w:p>
        </w:tc>
      </w:tr>
      <w:tr>
        <w:trPr>
          <w:trHeight w:val="195"/>
        </w:trPr>
        <w:tc>
          <w:tcPr>
            <w:tcW w:w="29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8"/>
              </w:rPr>
              <w:t>Independent Directors and Executive</w:t>
            </w:r>
          </w:p>
        </w:tc>
        <w:tc>
          <w:tcPr>
            <w:tcW w:w="160" w:type="dxa"/>
            <w:vAlign w:val="bottom"/>
          </w:tcPr>
          <w:p>
            <w:pPr>
              <w:spacing w:after="0"/>
              <w:rPr>
                <w:sz w:val="16"/>
                <w:szCs w:val="16"/>
                <w:color w:val="auto"/>
              </w:rPr>
            </w:pPr>
          </w:p>
        </w:tc>
        <w:tc>
          <w:tcPr>
            <w:tcW w:w="2600" w:type="dxa"/>
            <w:vAlign w:val="bottom"/>
            <w:tcBorders>
              <w:top w:val="single" w:sz="8" w:color="auto"/>
            </w:tcBorders>
          </w:tcPr>
          <w:p>
            <w:pPr>
              <w:jc w:val="right"/>
              <w:ind w:right="1559"/>
              <w:spacing w:after="0" w:line="195" w:lineRule="exact"/>
              <w:rPr>
                <w:sz w:val="20"/>
                <w:szCs w:val="20"/>
                <w:color w:val="auto"/>
              </w:rPr>
            </w:pPr>
            <w:r>
              <w:rPr>
                <w:rFonts w:ascii="Arial" w:cs="Arial" w:eastAsia="Arial" w:hAnsi="Arial"/>
                <w:sz w:val="18"/>
                <w:szCs w:val="18"/>
                <w:color w:val="auto"/>
                <w:w w:val="94"/>
              </w:rPr>
              <w:t>5 billion won</w:t>
            </w:r>
          </w:p>
        </w:tc>
        <w:tc>
          <w:tcPr>
            <w:tcW w:w="160" w:type="dxa"/>
            <w:vAlign w:val="bottom"/>
          </w:tcPr>
          <w:p>
            <w:pPr>
              <w:spacing w:after="0"/>
              <w:rPr>
                <w:sz w:val="16"/>
                <w:szCs w:val="16"/>
                <w:color w:val="auto"/>
              </w:rPr>
            </w:pPr>
          </w:p>
        </w:tc>
        <w:tc>
          <w:tcPr>
            <w:tcW w:w="2500" w:type="dxa"/>
            <w:vAlign w:val="bottom"/>
            <w:tcBorders>
              <w:top w:val="single" w:sz="8" w:color="auto"/>
            </w:tcBorders>
          </w:tcPr>
          <w:p>
            <w:pPr>
              <w:jc w:val="right"/>
              <w:ind w:right="1459"/>
              <w:spacing w:after="0" w:line="195" w:lineRule="exact"/>
              <w:rPr>
                <w:sz w:val="20"/>
                <w:szCs w:val="20"/>
                <w:color w:val="auto"/>
              </w:rPr>
            </w:pPr>
            <w:r>
              <w:rPr>
                <w:rFonts w:ascii="Arial" w:cs="Arial" w:eastAsia="Arial" w:hAnsi="Arial"/>
                <w:sz w:val="18"/>
                <w:szCs w:val="18"/>
                <w:color w:val="auto"/>
                <w:w w:val="94"/>
              </w:rPr>
              <w:t>5 billion won</w:t>
            </w:r>
          </w:p>
        </w:tc>
      </w:tr>
      <w:tr>
        <w:trPr>
          <w:trHeight w:val="230"/>
        </w:trPr>
        <w:tc>
          <w:tcPr>
            <w:tcW w:w="3100" w:type="dxa"/>
            <w:vAlign w:val="bottom"/>
            <w:gridSpan w:val="2"/>
          </w:tcPr>
          <w:p>
            <w:pPr>
              <w:spacing w:after="0"/>
              <w:rPr>
                <w:sz w:val="20"/>
                <w:szCs w:val="20"/>
                <w:color w:val="auto"/>
              </w:rPr>
            </w:pPr>
            <w:r>
              <w:rPr>
                <w:rFonts w:ascii="Arial" w:cs="Arial" w:eastAsia="Arial" w:hAnsi="Arial"/>
                <w:sz w:val="18"/>
                <w:szCs w:val="18"/>
                <w:color w:val="auto"/>
              </w:rPr>
              <w:t>Officers’ remuneration limit</w:t>
            </w:r>
          </w:p>
        </w:tc>
        <w:tc>
          <w:tcPr>
            <w:tcW w:w="2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00" w:type="dxa"/>
            <w:vAlign w:val="bottom"/>
          </w:tcPr>
          <w:p>
            <w:pPr>
              <w:spacing w:after="0"/>
              <w:rPr>
                <w:sz w:val="20"/>
                <w:szCs w:val="20"/>
                <w:color w:val="auto"/>
              </w:rPr>
            </w:pPr>
          </w:p>
        </w:tc>
      </w:tr>
    </w:tbl>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Proposal No. 6: To ratify the appointment of Samil PricewaterhouseCoopers as the independent registered public accounting firm of the Company for the fiscal years ending December 31, 2023, December 31, 2024, and December 31, 2025.</w:t>
      </w:r>
    </w:p>
    <w:p>
      <w:pPr>
        <w:sectPr>
          <w:pgSz w:w="11900" w:h="16838" w:orient="portrait"/>
          <w:cols w:equalWidth="0" w:num="1">
            <w:col w:w="10520"/>
          </w:cols>
          <w:pgMar w:left="880" w:top="274" w:right="499" w:bottom="1440" w:gutter="0" w:footer="0" w:header="0"/>
        </w:sectPr>
      </w:pPr>
    </w:p>
    <w:bookmarkStart w:id="4" w:name="page5"/>
    <w:bookmarkEnd w:id="4"/>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DoubleDown Interactive Co., Ltd.</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March 2,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Joseph A. Sigrist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Joseph A. Sigrist</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Chief Financial Officer</w:t>
      </w:r>
    </w:p>
    <w:sectPr>
      <w:pgSz w:w="11900" w:h="16838" w:orient="portrait"/>
      <w:cols w:equalWidth="0" w:num="1">
        <w:col w:w="10700"/>
      </w:cols>
      <w:pgMar w:left="440" w:top="270"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lvl w:ilvl="3">
      <w:lvlJc w:val="left"/>
      <w:lvlText w:val="•"/>
      <w:numFmt w:val="bullet"/>
      <w:start w:val="1"/>
    </w:lvl>
  </w:abstractNum>
  <w:abstractNum w:abstractNumId="1">
    <w:nsid w:val="74B0DC51"/>
    <w:multiLevelType w:val="hybridMultilevel"/>
    <w:lvl w:ilvl="0">
      <w:lvlJc w:val="left"/>
      <w:lvlText w:val="%1."/>
      <w:numFmt w:val="decimal"/>
      <w:start w:val="20"/>
    </w:lvl>
  </w:abstractNum>
  <w:abstractNum w:abstractNumId="2">
    <w:nsid w:val="19495CFF"/>
    <w:multiLevelType w:val="hybridMultilevel"/>
    <w:lvl w:ilvl="0">
      <w:lvlJc w:val="left"/>
      <w:lvlText w:val="%1."/>
      <w:numFmt w:val="decimal"/>
      <w:start w:val="20"/>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2023-03-02T15:40:27Z</dcterms:created>
  <dcterms:modified xsi:type="dcterms:W3CDTF">2023-03-02T15:40:27Z</dcterms:modified>
</cp:coreProperties>
</file>